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3" w:rsidRDefault="00E11C14" w:rsidP="00BF0783">
      <w:pPr>
        <w:pStyle w:val="Heading1"/>
        <w:numPr>
          <w:ilvl w:val="0"/>
          <w:numId w:val="0"/>
        </w:numPr>
        <w:ind w:left="360" w:hanging="360"/>
        <w:rPr>
          <w:color w:val="548DD4" w:themeColor="text2" w:themeTint="99"/>
        </w:rPr>
      </w:pPr>
      <w:r w:rsidRPr="00BF0783">
        <w:rPr>
          <w:color w:val="548DD4" w:themeColor="text2" w:themeTint="99"/>
        </w:rPr>
        <w:t xml:space="preserve">XXXX Risk Management Register </w:t>
      </w:r>
    </w:p>
    <w:p w:rsidR="00AE5E54" w:rsidRDefault="00AE5E54" w:rsidP="00AE5E54"/>
    <w:p w:rsidR="005E230D" w:rsidRPr="00227E0A" w:rsidRDefault="006374FF" w:rsidP="005E230D">
      <w:pPr>
        <w:rPr>
          <w:b/>
        </w:rPr>
      </w:pPr>
      <w:r w:rsidRPr="00227E0A">
        <w:rPr>
          <w:b/>
        </w:rPr>
        <w:t xml:space="preserve">Background </w:t>
      </w:r>
      <w:r w:rsidR="005E230D" w:rsidRPr="00227E0A">
        <w:rPr>
          <w:b/>
        </w:rPr>
        <w:t>/ Use of Register</w:t>
      </w:r>
    </w:p>
    <w:p w:rsidR="00FC4A60" w:rsidRPr="00062932" w:rsidRDefault="00FC4A60" w:rsidP="00FC4A60">
      <w:pPr>
        <w:pStyle w:val="ListParagraph"/>
        <w:numPr>
          <w:ilvl w:val="0"/>
          <w:numId w:val="21"/>
        </w:numPr>
        <w:rPr>
          <w:szCs w:val="24"/>
        </w:rPr>
      </w:pPr>
      <w:r w:rsidRPr="00062932">
        <w:rPr>
          <w:rFonts w:eastAsia="Arial"/>
          <w:bCs/>
          <w:szCs w:val="24"/>
        </w:rPr>
        <w:t xml:space="preserve">This register includes </w:t>
      </w:r>
      <w:r w:rsidRPr="00062932">
        <w:rPr>
          <w:szCs w:val="24"/>
        </w:rPr>
        <w:t>risks to participants, financial risks, work health and safety risks, and risks associated with the provision of supports. Risks are identified and analysed; management strategies are formulated and recorded on the register. More detailed strategies on how many risks are managed are also included in XXX’s policies &amp; procedures (e.g. Incident Management, Safe Practice &amp; Environment, Dig</w:t>
      </w:r>
      <w:r w:rsidR="0006089F">
        <w:rPr>
          <w:szCs w:val="24"/>
        </w:rPr>
        <w:t>nity of Risk and Duty of Care)</w:t>
      </w:r>
    </w:p>
    <w:p w:rsidR="006374FF" w:rsidRPr="00062932" w:rsidRDefault="006374FF" w:rsidP="006374FF">
      <w:pPr>
        <w:pStyle w:val="ListParagraph"/>
        <w:numPr>
          <w:ilvl w:val="0"/>
          <w:numId w:val="19"/>
        </w:numPr>
      </w:pPr>
      <w:r w:rsidRPr="00062932">
        <w:t xml:space="preserve">The risks </w:t>
      </w:r>
      <w:r w:rsidR="00062932">
        <w:t>and</w:t>
      </w:r>
      <w:r w:rsidRPr="00062932">
        <w:t xml:space="preserve"> associated strategies have been </w:t>
      </w:r>
      <w:r w:rsidRPr="00062932">
        <w:rPr>
          <w:b/>
        </w:rPr>
        <w:t>developed</w:t>
      </w:r>
      <w:r w:rsidRPr="00062932">
        <w:t xml:space="preserve"> by </w:t>
      </w:r>
      <w:r w:rsidR="005E230D" w:rsidRPr="00062932">
        <w:t>XXX’s</w:t>
      </w:r>
      <w:r w:rsidRPr="00062932">
        <w:t xml:space="preserve"> governing body, </w:t>
      </w:r>
      <w:r w:rsidR="005E230D" w:rsidRPr="00062932">
        <w:t>senior management and the XXX team</w:t>
      </w:r>
      <w:r w:rsidRPr="00062932">
        <w:t>.</w:t>
      </w:r>
      <w:r w:rsidR="005E230D" w:rsidRPr="00062932">
        <w:t xml:space="preserve"> The</w:t>
      </w:r>
      <w:bookmarkStart w:id="0" w:name="_GoBack"/>
      <w:bookmarkEnd w:id="0"/>
      <w:r w:rsidR="005E230D" w:rsidRPr="00062932">
        <w:t>y have been approved by XXX’s governing body</w:t>
      </w:r>
    </w:p>
    <w:p w:rsidR="00776F7F" w:rsidRPr="00062932" w:rsidRDefault="005E230D" w:rsidP="006374FF">
      <w:pPr>
        <w:pStyle w:val="ListParagraph"/>
        <w:numPr>
          <w:ilvl w:val="0"/>
          <w:numId w:val="19"/>
        </w:numPr>
      </w:pPr>
      <w:r w:rsidRPr="00062932">
        <w:t xml:space="preserve">The Register is </w:t>
      </w:r>
      <w:r w:rsidRPr="00062932">
        <w:rPr>
          <w:b/>
        </w:rPr>
        <w:t>used by XXX to guide operations</w:t>
      </w:r>
      <w:r w:rsidRPr="00062932">
        <w:t xml:space="preserve">. </w:t>
      </w:r>
      <w:r w:rsidR="00776F7F" w:rsidRPr="00062932">
        <w:t xml:space="preserve">YYY has </w:t>
      </w:r>
      <w:r w:rsidR="00776F7F" w:rsidRPr="00062932">
        <w:rPr>
          <w:b/>
        </w:rPr>
        <w:t>responsibility for managing</w:t>
      </w:r>
      <w:r w:rsidR="00776F7F" w:rsidRPr="00062932">
        <w:t xml:space="preserve"> the register and related strategy implementation. </w:t>
      </w:r>
      <w:r w:rsidRPr="00062932">
        <w:t xml:space="preserve">The register is </w:t>
      </w:r>
      <w:r w:rsidR="00776F7F" w:rsidRPr="00062932">
        <w:t xml:space="preserve">also </w:t>
      </w:r>
      <w:r w:rsidRPr="00062932">
        <w:t xml:space="preserve">monitored to ensure risks remain relevant and strategies are being implemented. This is done through </w:t>
      </w:r>
      <w:r w:rsidR="00776F7F" w:rsidRPr="00062932">
        <w:t xml:space="preserve">regular </w:t>
      </w:r>
      <w:r w:rsidRPr="00062932">
        <w:t xml:space="preserve">review </w:t>
      </w:r>
      <w:r w:rsidR="00776F7F" w:rsidRPr="00062932">
        <w:t xml:space="preserve">of </w:t>
      </w:r>
      <w:r w:rsidRPr="00062932">
        <w:t xml:space="preserve">the register at </w:t>
      </w:r>
      <w:r w:rsidR="00776F7F" w:rsidRPr="00062932">
        <w:t>(</w:t>
      </w:r>
      <w:r w:rsidRPr="00062932">
        <w:t>include which</w:t>
      </w:r>
      <w:r w:rsidR="00776F7F" w:rsidRPr="00062932">
        <w:t xml:space="preserve"> &amp; how often</w:t>
      </w:r>
      <w:r w:rsidRPr="00062932">
        <w:t>) meetings</w:t>
      </w:r>
      <w:r w:rsidR="00776F7F" w:rsidRPr="00062932">
        <w:t xml:space="preserve">. In addition, </w:t>
      </w:r>
      <w:r w:rsidR="00776F7F" w:rsidRPr="00062932">
        <w:rPr>
          <w:b/>
        </w:rPr>
        <w:t>training</w:t>
      </w:r>
      <w:r w:rsidR="00776F7F" w:rsidRPr="00062932">
        <w:t xml:space="preserve"> on the contents is conducted </w:t>
      </w:r>
      <w:r w:rsidR="0006089F">
        <w:t>at induction and then annually</w:t>
      </w:r>
    </w:p>
    <w:p w:rsidR="005E230D" w:rsidRPr="00062932" w:rsidRDefault="00776F7F" w:rsidP="006374FF">
      <w:pPr>
        <w:pStyle w:val="ListParagraph"/>
        <w:numPr>
          <w:ilvl w:val="0"/>
          <w:numId w:val="19"/>
        </w:numPr>
      </w:pPr>
      <w:r w:rsidRPr="00062932">
        <w:rPr>
          <w:b/>
        </w:rPr>
        <w:t>Formal review</w:t>
      </w:r>
      <w:r w:rsidRPr="00062932">
        <w:t xml:space="preserve"> of the register</w:t>
      </w:r>
      <w:r w:rsidR="005E230D" w:rsidRPr="00062932">
        <w:t xml:space="preserve"> </w:t>
      </w:r>
      <w:r w:rsidRPr="00062932">
        <w:t>is conducted annually by the governing body to ensure risks and strategies remain relevant / are up-to-date</w:t>
      </w:r>
      <w:r w:rsidR="0006089F">
        <w:t>.</w:t>
      </w:r>
    </w:p>
    <w:p w:rsidR="00062932" w:rsidRPr="007D3059" w:rsidRDefault="00062932" w:rsidP="00062932">
      <w:pPr>
        <w:pStyle w:val="ListParagraph"/>
        <w:rPr>
          <w:highlight w:val="magent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25"/>
        <w:gridCol w:w="2229"/>
        <w:gridCol w:w="986"/>
        <w:gridCol w:w="1172"/>
        <w:gridCol w:w="9694"/>
      </w:tblGrid>
      <w:tr w:rsidR="000873EC" w:rsidRPr="001D6BA1" w:rsidTr="009C1281">
        <w:trPr>
          <w:tblHeader/>
        </w:trPr>
        <w:tc>
          <w:tcPr>
            <w:tcW w:w="1425" w:type="dxa"/>
          </w:tcPr>
          <w:p w:rsidR="00140E05" w:rsidRPr="00156B4C" w:rsidRDefault="00140E05" w:rsidP="007311F3">
            <w:pPr>
              <w:rPr>
                <w:b/>
              </w:rPr>
            </w:pPr>
            <w:r w:rsidRPr="00156B4C">
              <w:rPr>
                <w:b/>
              </w:rPr>
              <w:t>Risk Category</w:t>
            </w:r>
          </w:p>
        </w:tc>
        <w:tc>
          <w:tcPr>
            <w:tcW w:w="2229" w:type="dxa"/>
          </w:tcPr>
          <w:p w:rsidR="00140E05" w:rsidRPr="001D6BA1" w:rsidRDefault="00140E05" w:rsidP="007311F3">
            <w:pPr>
              <w:rPr>
                <w:b/>
              </w:rPr>
            </w:pPr>
            <w:r>
              <w:rPr>
                <w:b/>
              </w:rPr>
              <w:t>Risk Description</w:t>
            </w:r>
          </w:p>
        </w:tc>
        <w:tc>
          <w:tcPr>
            <w:tcW w:w="986" w:type="dxa"/>
          </w:tcPr>
          <w:p w:rsidR="00140E05" w:rsidRDefault="00591D8D" w:rsidP="002C61B7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  <w:r w:rsidR="00140E05">
              <w:rPr>
                <w:b/>
              </w:rPr>
              <w:t>Risk Rating</w:t>
            </w:r>
          </w:p>
        </w:tc>
        <w:tc>
          <w:tcPr>
            <w:tcW w:w="1172" w:type="dxa"/>
          </w:tcPr>
          <w:p w:rsidR="00140E05" w:rsidRDefault="00140E05" w:rsidP="002C61B7">
            <w:pPr>
              <w:rPr>
                <w:b/>
              </w:rPr>
            </w:pPr>
            <w:r>
              <w:rPr>
                <w:b/>
              </w:rPr>
              <w:t>Residual Risk Rating</w:t>
            </w:r>
          </w:p>
        </w:tc>
        <w:tc>
          <w:tcPr>
            <w:tcW w:w="9694" w:type="dxa"/>
          </w:tcPr>
          <w:p w:rsidR="00140E05" w:rsidRPr="001D6BA1" w:rsidRDefault="00140E05" w:rsidP="002C61B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295193" w:rsidTr="009C1281">
        <w:tc>
          <w:tcPr>
            <w:tcW w:w="1425" w:type="dxa"/>
          </w:tcPr>
          <w:p w:rsidR="00295193" w:rsidRPr="000873EC" w:rsidRDefault="00295193" w:rsidP="002D12F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All</w:t>
            </w:r>
          </w:p>
        </w:tc>
        <w:tc>
          <w:tcPr>
            <w:tcW w:w="2229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12"/>
              </w:numPr>
              <w:ind w:left="310" w:hanging="310"/>
            </w:pPr>
            <w:r w:rsidRPr="00804F6A">
              <w:t>Inadequate governance leading to poor / non-compliance and poor quality of services</w:t>
            </w:r>
            <w:r>
              <w:t xml:space="preserve"> – clinical or admin </w:t>
            </w:r>
          </w:p>
        </w:tc>
        <w:tc>
          <w:tcPr>
            <w:tcW w:w="986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295193" w:rsidRPr="00804F6A" w:rsidRDefault="00295193" w:rsidP="007606E9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295193" w:rsidRPr="00804F6A" w:rsidRDefault="00295193" w:rsidP="007606E9">
            <w:pPr>
              <w:pStyle w:val="Style1"/>
            </w:pPr>
            <w:r w:rsidRPr="00804F6A">
              <w:t xml:space="preserve">Governing body </w:t>
            </w:r>
            <w:r>
              <w:t xml:space="preserve">(GB) </w:t>
            </w:r>
            <w:r w:rsidRPr="00804F6A">
              <w:t xml:space="preserve">appointed, meets XX / year with comprehensive meeting agenda including review of: strategic </w:t>
            </w:r>
            <w:r>
              <w:t xml:space="preserve">/ business </w:t>
            </w:r>
            <w:r w:rsidRPr="00804F6A">
              <w:t>plan</w:t>
            </w:r>
            <w:r>
              <w:t>/s</w:t>
            </w:r>
            <w:r w:rsidRPr="00804F6A">
              <w:t xml:space="preserve">, compliance, </w:t>
            </w:r>
            <w:r>
              <w:t xml:space="preserve">financial management, </w:t>
            </w:r>
            <w:r w:rsidRPr="00804F6A">
              <w:t>senior staff performance</w:t>
            </w:r>
            <w:r>
              <w:t xml:space="preserve">, clinical outcomes, incidents, complaints &amp; worker management </w:t>
            </w:r>
          </w:p>
          <w:p w:rsidR="00295193" w:rsidRPr="00804F6A" w:rsidRDefault="00295193" w:rsidP="007606E9">
            <w:pPr>
              <w:pStyle w:val="Style1"/>
            </w:pPr>
            <w:r>
              <w:t>GB</w:t>
            </w:r>
            <w:r w:rsidRPr="00804F6A">
              <w:t xml:space="preserve"> skills matrix completed and required training completed</w:t>
            </w:r>
          </w:p>
          <w:p w:rsidR="00295193" w:rsidRPr="00804F6A" w:rsidRDefault="00295193" w:rsidP="007606E9">
            <w:pPr>
              <w:pStyle w:val="Style1"/>
            </w:pPr>
            <w:r w:rsidRPr="00804F6A">
              <w:t>Strategic and Business plans developed and reviewed annually or as business environment changes occurs. Input sought from those living with a disability</w:t>
            </w:r>
          </w:p>
          <w:p w:rsidR="00295193" w:rsidRPr="00804F6A" w:rsidRDefault="00295193" w:rsidP="00295193">
            <w:pPr>
              <w:pStyle w:val="Style1"/>
            </w:pPr>
            <w:r w:rsidRPr="00804F6A">
              <w:t xml:space="preserve">External and internal audits conducted and reported to GB </w:t>
            </w:r>
          </w:p>
        </w:tc>
      </w:tr>
      <w:tr w:rsidR="000873EC" w:rsidTr="009C1281">
        <w:tc>
          <w:tcPr>
            <w:tcW w:w="1425" w:type="dxa"/>
          </w:tcPr>
          <w:p w:rsidR="003D2805" w:rsidRPr="000873EC" w:rsidRDefault="003D2805" w:rsidP="003D2805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Participant/</w:t>
            </w:r>
          </w:p>
          <w:p w:rsidR="003D2805" w:rsidRPr="000873EC" w:rsidRDefault="003D2805" w:rsidP="003D2805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Work Health and Safety</w:t>
            </w:r>
          </w:p>
        </w:tc>
        <w:tc>
          <w:tcPr>
            <w:tcW w:w="2229" w:type="dxa"/>
          </w:tcPr>
          <w:p w:rsidR="003D2805" w:rsidRDefault="003D28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injury or incident</w:t>
            </w:r>
          </w:p>
        </w:tc>
        <w:tc>
          <w:tcPr>
            <w:tcW w:w="986" w:type="dxa"/>
          </w:tcPr>
          <w:p w:rsidR="003D2805" w:rsidRDefault="003D28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3D2805" w:rsidRDefault="003D28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3D2805" w:rsidRDefault="003D2805" w:rsidP="003D2805">
            <w:pPr>
              <w:pStyle w:val="Style1"/>
            </w:pPr>
            <w:r>
              <w:t>Risk identification commences at time of referral and is an ongoing process through the assessment and intervention phases of support</w:t>
            </w:r>
          </w:p>
          <w:p w:rsidR="003D2805" w:rsidRPr="000914C3" w:rsidRDefault="003D2805" w:rsidP="003D2805">
            <w:pPr>
              <w:pStyle w:val="Style1"/>
            </w:pPr>
            <w:r>
              <w:t xml:space="preserve">Any participant risks and their management strategies are documented on the </w:t>
            </w:r>
            <w:r>
              <w:rPr>
                <w:i/>
              </w:rPr>
              <w:t>Support</w:t>
            </w:r>
            <w:r w:rsidRPr="006831C8">
              <w:rPr>
                <w:i/>
              </w:rPr>
              <w:t xml:space="preserve"> Plan</w:t>
            </w:r>
          </w:p>
          <w:p w:rsidR="003D2805" w:rsidRPr="00E223FE" w:rsidRDefault="003D2805" w:rsidP="003D2805">
            <w:pPr>
              <w:pStyle w:val="Style1"/>
            </w:pPr>
            <w:r>
              <w:t xml:space="preserve">AHP refers to the </w:t>
            </w:r>
            <w:r w:rsidRPr="00E223FE">
              <w:rPr>
                <w:i/>
              </w:rPr>
              <w:t>Community Safety</w:t>
            </w:r>
            <w:r w:rsidRPr="00E223FE">
              <w:t xml:space="preserve"> criteria and the </w:t>
            </w:r>
            <w:r w:rsidRPr="00E223FE">
              <w:rPr>
                <w:i/>
              </w:rPr>
              <w:t>In-Rooms Safety Checklist</w:t>
            </w:r>
            <w:r w:rsidRPr="00E223FE">
              <w:t xml:space="preserve"> to assist with risk identification</w:t>
            </w:r>
          </w:p>
          <w:p w:rsidR="003D2805" w:rsidRDefault="003D2805" w:rsidP="003D2805">
            <w:pPr>
              <w:pStyle w:val="Style1"/>
            </w:pPr>
            <w:r>
              <w:t>Incident management system in place that reflects funding body requirements (</w:t>
            </w:r>
            <w:r w:rsidR="00707035">
              <w:t>e.g.</w:t>
            </w:r>
            <w:r>
              <w:t xml:space="preserve"> NDIS Incident Mgmt &amp; Reportable Incidents Rules 2018). Includes</w:t>
            </w:r>
          </w:p>
          <w:p w:rsidR="003D2805" w:rsidRDefault="003D2805" w:rsidP="003D2805">
            <w:pPr>
              <w:pStyle w:val="Style1"/>
              <w:numPr>
                <w:ilvl w:val="1"/>
                <w:numId w:val="8"/>
              </w:numPr>
            </w:pPr>
            <w:r>
              <w:t>Processes and forms for reporting - internal &amp; externally</w:t>
            </w:r>
          </w:p>
          <w:p w:rsidR="003D2805" w:rsidRDefault="00B733EF" w:rsidP="003D2805">
            <w:pPr>
              <w:pStyle w:val="Style1"/>
              <w:numPr>
                <w:ilvl w:val="1"/>
                <w:numId w:val="8"/>
              </w:numPr>
            </w:pPr>
            <w:r>
              <w:t>Policies</w:t>
            </w:r>
            <w:r w:rsidR="003D2805" w:rsidRPr="006831C8">
              <w:t xml:space="preserve"> on </w:t>
            </w:r>
            <w:r w:rsidR="003D2805" w:rsidRPr="006831C8">
              <w:rPr>
                <w:i/>
              </w:rPr>
              <w:t xml:space="preserve">Incident </w:t>
            </w:r>
            <w:r w:rsidRPr="006831C8">
              <w:rPr>
                <w:i/>
              </w:rPr>
              <w:t>Management</w:t>
            </w:r>
            <w:r>
              <w:t xml:space="preserve"> and</w:t>
            </w:r>
            <w:r w:rsidR="003D2805" w:rsidRPr="006831C8">
              <w:rPr>
                <w:i/>
              </w:rPr>
              <w:t xml:space="preserve"> Complaints Management</w:t>
            </w:r>
            <w:r w:rsidR="003D2805">
              <w:t xml:space="preserve"> </w:t>
            </w:r>
          </w:p>
          <w:p w:rsidR="003D2805" w:rsidRDefault="003D2805" w:rsidP="003D2805">
            <w:pPr>
              <w:pStyle w:val="Style1"/>
              <w:numPr>
                <w:ilvl w:val="1"/>
                <w:numId w:val="8"/>
              </w:numPr>
            </w:pPr>
            <w:r w:rsidRPr="006831C8">
              <w:t>Register</w:t>
            </w:r>
            <w:r>
              <w:t xml:space="preserve"> to follow &amp; record progress &amp; outcomes of incidents</w:t>
            </w:r>
          </w:p>
          <w:p w:rsidR="003D2805" w:rsidRPr="006831C8" w:rsidRDefault="003D2805" w:rsidP="003D2805">
            <w:pPr>
              <w:pStyle w:val="Style1"/>
              <w:numPr>
                <w:ilvl w:val="1"/>
                <w:numId w:val="8"/>
              </w:numPr>
            </w:pPr>
            <w:r>
              <w:t xml:space="preserve">Regular training on incident reporting requirements </w:t>
            </w:r>
            <w:r w:rsidRPr="006831C8">
              <w:t>(</w:t>
            </w:r>
            <w:r w:rsidRPr="006831C8">
              <w:rPr>
                <w:i/>
              </w:rPr>
              <w:t>Annual Training Plan</w:t>
            </w:r>
            <w:r w:rsidRPr="006831C8">
              <w:t>)</w:t>
            </w:r>
          </w:p>
          <w:p w:rsidR="003D2805" w:rsidRDefault="003D2805" w:rsidP="003D2805">
            <w:pPr>
              <w:pStyle w:val="Style1"/>
            </w:pPr>
            <w:r>
              <w:t>Appropriate insurances (professional indemnity, public liability) in place</w:t>
            </w:r>
          </w:p>
          <w:p w:rsidR="003D2805" w:rsidRDefault="003D2805" w:rsidP="003D2805">
            <w:pPr>
              <w:pStyle w:val="Style1"/>
            </w:pPr>
            <w:r>
              <w:lastRenderedPageBreak/>
              <w:t xml:space="preserve">Basic participant protections such as infection control in place (refer to </w:t>
            </w:r>
            <w:r w:rsidRPr="006831C8">
              <w:rPr>
                <w:i/>
              </w:rPr>
              <w:t>Safe Practice and Environment Policy</w:t>
            </w:r>
            <w:r>
              <w:t>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54454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</w:t>
            </w:r>
            <w:r w:rsidR="003D2805" w:rsidRPr="000873EC">
              <w:rPr>
                <w:b/>
                <w:szCs w:val="22"/>
              </w:rPr>
              <w:t xml:space="preserve"> 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Non-compliance with State requirements for statutory reporting of abuse / neglect</w:t>
            </w:r>
          </w:p>
        </w:tc>
        <w:tc>
          <w:tcPr>
            <w:tcW w:w="986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9694" w:type="dxa"/>
          </w:tcPr>
          <w:p w:rsidR="00140E05" w:rsidRDefault="00B733EF" w:rsidP="000B251C">
            <w:pPr>
              <w:pStyle w:val="Style1"/>
            </w:pPr>
            <w:r w:rsidRPr="006831C8">
              <w:rPr>
                <w:i/>
              </w:rPr>
              <w:t>Incident Management</w:t>
            </w:r>
            <w:r>
              <w:t xml:space="preserve"> and</w:t>
            </w:r>
            <w:r w:rsidRPr="006831C8">
              <w:rPr>
                <w:i/>
              </w:rPr>
              <w:t xml:space="preserve"> Complaints Management</w:t>
            </w:r>
            <w:r>
              <w:t xml:space="preserve"> </w:t>
            </w:r>
            <w:r w:rsidR="00140E05">
              <w:rPr>
                <w:i/>
              </w:rPr>
              <w:t>polic</w:t>
            </w:r>
            <w:r>
              <w:rPr>
                <w:i/>
              </w:rPr>
              <w:t>ies</w:t>
            </w:r>
            <w:r w:rsidR="00140E05">
              <w:rPr>
                <w:i/>
              </w:rPr>
              <w:t xml:space="preserve"> </w:t>
            </w:r>
            <w:r w:rsidR="00140E05" w:rsidRPr="002C61B7">
              <w:t xml:space="preserve">outlines reporting in line with </w:t>
            </w:r>
            <w:r w:rsidR="00140E05">
              <w:t>statutory requirements</w:t>
            </w:r>
          </w:p>
          <w:p w:rsidR="00140E05" w:rsidRDefault="00140E05" w:rsidP="000B251C">
            <w:pPr>
              <w:pStyle w:val="Style1"/>
            </w:pPr>
            <w:r>
              <w:t xml:space="preserve">Regular refresher training </w:t>
            </w:r>
            <w:r w:rsidRPr="00BB0E4A">
              <w:t>(</w:t>
            </w:r>
            <w:r w:rsidRPr="002C61B7">
              <w:rPr>
                <w:i/>
              </w:rPr>
              <w:t>Annual Training Plan</w:t>
            </w:r>
            <w:r w:rsidRPr="00BB0E4A">
              <w:t>)</w:t>
            </w:r>
          </w:p>
          <w:p w:rsidR="00140E05" w:rsidRDefault="00140E05" w:rsidP="00B733EF">
            <w:pPr>
              <w:pStyle w:val="Style1"/>
            </w:pPr>
            <w:r>
              <w:t xml:space="preserve">Professional Associations / memberships / funding bodies assist with updating on any changed requirements (refer to </w:t>
            </w:r>
            <w:r w:rsidR="00B733EF">
              <w:rPr>
                <w:i/>
              </w:rPr>
              <w:t>HR</w:t>
            </w:r>
            <w:r w:rsidRPr="002C61B7">
              <w:rPr>
                <w:i/>
              </w:rPr>
              <w:t xml:space="preserve"> Register</w:t>
            </w:r>
            <w:r>
              <w:t xml:space="preserve"> for membership details)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54454F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needs not being met through</w:t>
            </w:r>
            <w:r w:rsidR="00665047">
              <w:t>: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Inappropriately experienced / qualified / skilled AHP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 xml:space="preserve">Inappropriate goals being set 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Inappropriate management of participant expectations</w:t>
            </w:r>
          </w:p>
        </w:tc>
        <w:tc>
          <w:tcPr>
            <w:tcW w:w="986" w:type="dxa"/>
          </w:tcPr>
          <w:p w:rsidR="00140E05" w:rsidRPr="00645BB2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Pr="00645BB2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Pr="00645BB2" w:rsidRDefault="00140E05" w:rsidP="000B251C">
            <w:pPr>
              <w:pStyle w:val="Style1"/>
            </w:pPr>
            <w:r w:rsidRPr="00645BB2">
              <w:t xml:space="preserve">Scope of practice defined based on </w:t>
            </w:r>
            <w:r>
              <w:t>AHP</w:t>
            </w:r>
            <w:r w:rsidRPr="00645BB2">
              <w:t>'s qualifications / skills / experience</w:t>
            </w:r>
            <w:r w:rsidR="00B733EF">
              <w:t xml:space="preserve"> &amp; NDIS requirements (refer to HR register)</w:t>
            </w:r>
            <w:r w:rsidRPr="00645BB2">
              <w:t xml:space="preserve">. </w:t>
            </w:r>
            <w:r>
              <w:t>Participant</w:t>
            </w:r>
            <w:r w:rsidRPr="00645BB2">
              <w:t>s outside this scope referred to other services</w:t>
            </w:r>
          </w:p>
          <w:p w:rsidR="00140E05" w:rsidRDefault="00140E05" w:rsidP="00437843">
            <w:pPr>
              <w:pStyle w:val="Style1"/>
            </w:pPr>
            <w:r w:rsidRPr="00645BB2">
              <w:t xml:space="preserve">HR systems ensures </w:t>
            </w:r>
            <w:r>
              <w:t>AHP</w:t>
            </w:r>
            <w:r w:rsidRPr="00645BB2">
              <w:t xml:space="preserve"> has appropriate &amp; up-to-date registration, screenings, prof</w:t>
            </w:r>
            <w:r>
              <w:t>essional</w:t>
            </w:r>
            <w:r w:rsidRPr="00645BB2">
              <w:t xml:space="preserve"> development &amp; training (initial &amp; annual review)</w:t>
            </w:r>
          </w:p>
          <w:p w:rsidR="00140E05" w:rsidRDefault="00140E05" w:rsidP="00645BB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Evidence-based practice is utilised and kept up-to-date with CPD requirements</w:t>
            </w:r>
            <w:r w:rsidRPr="00645BB2">
              <w:t xml:space="preserve"> </w:t>
            </w:r>
          </w:p>
          <w:p w:rsidR="00140E05" w:rsidRPr="00645BB2" w:rsidRDefault="00140E05" w:rsidP="000B251C">
            <w:pPr>
              <w:pStyle w:val="Style1"/>
            </w:pPr>
            <w:r w:rsidRPr="00645BB2">
              <w:t xml:space="preserve">Goals are set in collaboration with </w:t>
            </w:r>
            <w:r>
              <w:t>participant</w:t>
            </w:r>
            <w:r w:rsidRPr="00645BB2">
              <w:t xml:space="preserve"> / family</w:t>
            </w:r>
          </w:p>
          <w:p w:rsidR="00140E05" w:rsidRDefault="00140E05" w:rsidP="00645BB2">
            <w:pPr>
              <w:pStyle w:val="Style1"/>
              <w:numPr>
                <w:ilvl w:val="0"/>
                <w:numId w:val="0"/>
              </w:numPr>
              <w:ind w:left="360"/>
            </w:pPr>
            <w:r w:rsidRPr="00645BB2">
              <w:t>Regular reviews to monitor progress are conducted</w:t>
            </w:r>
            <w:r>
              <w:t xml:space="preserve"> &amp; action taken (including wider collaboration as required) if not met</w:t>
            </w:r>
          </w:p>
          <w:p w:rsidR="00140E05" w:rsidRDefault="00140E05" w:rsidP="00437843">
            <w:pPr>
              <w:pStyle w:val="Style1"/>
            </w:pPr>
            <w:r>
              <w:t xml:space="preserve">An </w:t>
            </w:r>
            <w:r w:rsidR="00D63431">
              <w:t>evaluation</w:t>
            </w:r>
            <w:r>
              <w:t xml:space="preserve"> of participant </w:t>
            </w:r>
            <w:r w:rsidRPr="00437843">
              <w:rPr>
                <w:i/>
              </w:rPr>
              <w:t>Goal A</w:t>
            </w:r>
            <w:r>
              <w:rPr>
                <w:i/>
              </w:rPr>
              <w:t>ttainment</w:t>
            </w:r>
            <w:r>
              <w:t xml:space="preserve"> is conducted annually, information obtained from this audit is used to evaluate practice and guide improvement</w:t>
            </w:r>
          </w:p>
          <w:p w:rsidR="00140E05" w:rsidRDefault="00140E05" w:rsidP="00437843">
            <w:pPr>
              <w:pStyle w:val="Style1"/>
            </w:pPr>
            <w:r>
              <w:t>Participant</w:t>
            </w:r>
            <w:r w:rsidRPr="00645BB2">
              <w:t xml:space="preserve"> feedback</w:t>
            </w:r>
            <w:r>
              <w:t xml:space="preserve"> is</w:t>
            </w:r>
            <w:r w:rsidRPr="00645BB2">
              <w:t xml:space="preserve"> encouraged</w:t>
            </w:r>
            <w:r>
              <w:t xml:space="preserve"> at all times and more formally through an annual </w:t>
            </w:r>
            <w:r w:rsidRPr="00437843">
              <w:rPr>
                <w:i/>
              </w:rPr>
              <w:t>Participant Quality Improvement Survey</w:t>
            </w:r>
            <w:r w:rsidRPr="00645BB2">
              <w:t xml:space="preserve"> (refer to </w:t>
            </w:r>
            <w:r w:rsidRPr="002C61B7">
              <w:rPr>
                <w:i/>
              </w:rPr>
              <w:t xml:space="preserve">Service Agreement, Incident &amp; Complaints Management Policy, Service Delivery </w:t>
            </w:r>
            <w:r>
              <w:rPr>
                <w:i/>
              </w:rPr>
              <w:t xml:space="preserve">Model, </w:t>
            </w:r>
            <w:r w:rsidRPr="00437843">
              <w:rPr>
                <w:i/>
              </w:rPr>
              <w:t>Participant Quality Improvement Survey</w:t>
            </w:r>
            <w:r>
              <w:rPr>
                <w:i/>
              </w:rPr>
              <w:t xml:space="preserve"> Form </w:t>
            </w:r>
            <w:r>
              <w:t xml:space="preserve">) </w:t>
            </w:r>
          </w:p>
          <w:p w:rsidR="00140E05" w:rsidRPr="00645BB2" w:rsidRDefault="00140E05" w:rsidP="00437843">
            <w:pPr>
              <w:pStyle w:val="Style1"/>
            </w:pPr>
            <w:r>
              <w:t xml:space="preserve">Support Plan outlines what will be delivered when, by whom and duration 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E67460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</w:t>
            </w:r>
            <w:r w:rsidR="00665047">
              <w:t xml:space="preserve"> is</w:t>
            </w:r>
            <w:r>
              <w:t xml:space="preserve"> not being offered person / family centred services that focus on inclusion</w:t>
            </w:r>
          </w:p>
        </w:tc>
        <w:tc>
          <w:tcPr>
            <w:tcW w:w="986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140E05" w:rsidRPr="002C61B7" w:rsidRDefault="00140E05" w:rsidP="00140E05">
            <w:pPr>
              <w:pStyle w:val="Style1"/>
              <w:numPr>
                <w:ilvl w:val="0"/>
                <w:numId w:val="0"/>
              </w:numPr>
              <w:ind w:left="360" w:hanging="360"/>
              <w:rPr>
                <w:i/>
              </w:rPr>
            </w:pPr>
          </w:p>
        </w:tc>
        <w:tc>
          <w:tcPr>
            <w:tcW w:w="9694" w:type="dxa"/>
          </w:tcPr>
          <w:p w:rsidR="00140E05" w:rsidRDefault="00140E05" w:rsidP="008046F2">
            <w:pPr>
              <w:pStyle w:val="Style1"/>
            </w:pPr>
            <w:r w:rsidRPr="002C61B7">
              <w:rPr>
                <w:i/>
              </w:rPr>
              <w:t xml:space="preserve">Service Delivery </w:t>
            </w:r>
            <w:r>
              <w:rPr>
                <w:i/>
              </w:rPr>
              <w:t xml:space="preserve">Model </w:t>
            </w:r>
            <w:r>
              <w:t>outlines XXXX's person-centred support approach</w:t>
            </w:r>
          </w:p>
          <w:p w:rsidR="00140E05" w:rsidRDefault="00140E05" w:rsidP="008046F2">
            <w:pPr>
              <w:pStyle w:val="Style1"/>
            </w:pPr>
            <w:r>
              <w:t>Support assessment / delivery focuses on involvement of participant &amp; family as evidenced by: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 xml:space="preserve">- </w:t>
            </w:r>
            <w:r w:rsidRPr="008046F2">
              <w:t xml:space="preserve">Goals are set in collaboration with </w:t>
            </w:r>
            <w:r>
              <w:t>participant</w:t>
            </w:r>
            <w:r w:rsidRPr="008046F2">
              <w:t xml:space="preserve"> / family</w:t>
            </w:r>
            <w:r>
              <w:t xml:space="preserve"> 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- Goals agreed are signed off on Support Plan</w:t>
            </w:r>
          </w:p>
          <w:p w:rsidR="00140E05" w:rsidRDefault="00140E05" w:rsidP="008046F2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- Participant survey seeks feedback on this topic (see results)</w:t>
            </w:r>
          </w:p>
          <w:p w:rsidR="00140E05" w:rsidRDefault="00140E05" w:rsidP="00AC6A4D">
            <w:pPr>
              <w:pStyle w:val="Style1"/>
            </w:pPr>
            <w:r w:rsidRPr="005B2CC0">
              <w:t>Key focus o</w:t>
            </w:r>
            <w:r w:rsidRPr="00967BFB">
              <w:t xml:space="preserve">f </w:t>
            </w:r>
            <w:r>
              <w:t>support</w:t>
            </w:r>
            <w:r w:rsidRPr="005B2CC0">
              <w:t xml:space="preserve"> is knowledge &amp; skills sharing </w:t>
            </w:r>
            <w:r w:rsidRPr="005B2CC0">
              <w:sym w:font="Wingdings" w:char="F0E0"/>
            </w:r>
            <w:r w:rsidRPr="005B2CC0">
              <w:t xml:space="preserve"> capacity building </w:t>
            </w:r>
          </w:p>
        </w:tc>
      </w:tr>
      <w:tr w:rsidR="000873EC" w:rsidTr="009C1281">
        <w:tc>
          <w:tcPr>
            <w:tcW w:w="1425" w:type="dxa"/>
          </w:tcPr>
          <w:p w:rsidR="00665047" w:rsidRPr="000873EC" w:rsidRDefault="00665047" w:rsidP="00E67460">
            <w:pPr>
              <w:rPr>
                <w:b/>
                <w:szCs w:val="22"/>
              </w:rPr>
            </w:pPr>
          </w:p>
        </w:tc>
        <w:tc>
          <w:tcPr>
            <w:tcW w:w="2229" w:type="dxa"/>
          </w:tcPr>
          <w:p w:rsidR="00665047" w:rsidRDefault="0066504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Participant consent is breached</w:t>
            </w:r>
          </w:p>
        </w:tc>
        <w:tc>
          <w:tcPr>
            <w:tcW w:w="986" w:type="dxa"/>
          </w:tcPr>
          <w:p w:rsidR="00665047" w:rsidRPr="002C61B7" w:rsidRDefault="00665047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1172" w:type="dxa"/>
          </w:tcPr>
          <w:p w:rsidR="00665047" w:rsidRPr="002C61B7" w:rsidRDefault="00665047" w:rsidP="00140E05">
            <w:pPr>
              <w:pStyle w:val="Style1"/>
              <w:numPr>
                <w:ilvl w:val="0"/>
                <w:numId w:val="0"/>
              </w:numPr>
              <w:ind w:left="360" w:hanging="360"/>
              <w:rPr>
                <w:i/>
              </w:rPr>
            </w:pPr>
          </w:p>
        </w:tc>
        <w:tc>
          <w:tcPr>
            <w:tcW w:w="9694" w:type="dxa"/>
          </w:tcPr>
          <w:p w:rsidR="00665047" w:rsidRPr="00665047" w:rsidRDefault="00665047" w:rsidP="008046F2">
            <w:pPr>
              <w:pStyle w:val="Style1"/>
              <w:rPr>
                <w:i/>
              </w:rPr>
            </w:pPr>
            <w:r>
              <w:rPr>
                <w:iCs/>
              </w:rPr>
              <w:t>Consent Policy in place</w:t>
            </w:r>
          </w:p>
          <w:p w:rsidR="00665047" w:rsidRPr="00665047" w:rsidRDefault="00665047" w:rsidP="008046F2">
            <w:pPr>
              <w:pStyle w:val="Style1"/>
              <w:rPr>
                <w:i/>
              </w:rPr>
            </w:pPr>
            <w:r>
              <w:rPr>
                <w:iCs/>
              </w:rPr>
              <w:t>Consent is document on participant’s Service Agreement</w:t>
            </w:r>
          </w:p>
          <w:p w:rsidR="00665047" w:rsidRPr="00665047" w:rsidRDefault="00665047" w:rsidP="00665047">
            <w:pPr>
              <w:pStyle w:val="Style1"/>
              <w:rPr>
                <w:i/>
              </w:rPr>
            </w:pPr>
            <w:r w:rsidRPr="00665047">
              <w:t>Limited consent is flagged on the participant’s file</w:t>
            </w:r>
          </w:p>
          <w:p w:rsidR="00665047" w:rsidRPr="002C61B7" w:rsidRDefault="00665047" w:rsidP="00665047">
            <w:pPr>
              <w:pStyle w:val="Style1"/>
              <w:rPr>
                <w:i/>
              </w:rPr>
            </w:pPr>
            <w:r>
              <w:rPr>
                <w:iCs/>
              </w:rPr>
              <w:t>Audits of consent are undertaken as part of Participants’ Service Agreement Audit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 xml:space="preserve">Participant/ Work </w:t>
            </w:r>
            <w:r w:rsidRPr="000873EC">
              <w:rPr>
                <w:b/>
                <w:szCs w:val="22"/>
              </w:rPr>
              <w:lastRenderedPageBreak/>
              <w:t>Health and Safety</w:t>
            </w:r>
          </w:p>
        </w:tc>
        <w:tc>
          <w:tcPr>
            <w:tcW w:w="2229" w:type="dxa"/>
          </w:tcPr>
          <w:p w:rsidR="00140E05" w:rsidRPr="00FC25F4" w:rsidRDefault="00140E05" w:rsidP="00265F1A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lastRenderedPageBreak/>
              <w:t xml:space="preserve">Participant services unable </w:t>
            </w:r>
            <w:r>
              <w:lastRenderedPageBreak/>
              <w:t>to be delivered due to injury of / illness to AHP or damage to vehicle</w:t>
            </w:r>
            <w:r w:rsidR="00E553D0">
              <w:t xml:space="preserve"> </w:t>
            </w:r>
            <w:r w:rsidR="00F66592" w:rsidRPr="00F66592">
              <w:t>or emergency</w:t>
            </w:r>
            <w:r w:rsidR="00265F1A">
              <w:t xml:space="preserve"> </w:t>
            </w:r>
            <w:r w:rsidR="00265F1A" w:rsidRPr="00265F1A">
              <w:t>/ natural disaster</w:t>
            </w:r>
            <w:r w:rsidR="00EA3366" w:rsidRPr="00236BBA">
              <w:t>*</w:t>
            </w:r>
            <w:r w:rsidR="00E553D0">
              <w:t xml:space="preserve"> (Noting most services are </w:t>
            </w:r>
            <w:r w:rsidR="00E553D0" w:rsidRPr="00E553D0">
              <w:rPr>
                <w:b/>
              </w:rPr>
              <w:t>not</w:t>
            </w:r>
            <w:r w:rsidR="00E553D0">
              <w:t xml:space="preserve"> time-critical)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Attempting to have another AHP provide the service at the allocated time – with participant consent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lastRenderedPageBreak/>
              <w:t xml:space="preserve">Maintaining professional networks of similarly experienced / qualified AHP to whom they could refer participants to in an </w:t>
            </w:r>
            <w:r w:rsidR="00E553D0">
              <w:t>urgent case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The cultural needs of the participant are documented on their NDIS Support Plan enabling replacement staff to be aware of their needs</w:t>
            </w:r>
            <w:r>
              <w:t xml:space="preserve"> including being a </w:t>
            </w:r>
            <w:r w:rsidRPr="00D57FE4">
              <w:t>suitable match culturally</w:t>
            </w:r>
          </w:p>
          <w:p w:rsidR="00D57FE4" w:rsidRP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t>Having a WHS system in place to protect AHP's safety &amp; well-being to minimise days lost</w:t>
            </w:r>
          </w:p>
          <w:p w:rsidR="00D57FE4" w:rsidRDefault="00D57FE4" w:rsidP="00D57FE4">
            <w:pPr>
              <w:pStyle w:val="Style1"/>
              <w:numPr>
                <w:ilvl w:val="0"/>
                <w:numId w:val="15"/>
              </w:numPr>
            </w:pPr>
            <w:r w:rsidRPr="00D57FE4">
              <w:rPr>
                <w:highlight w:val="yellow"/>
              </w:rPr>
              <w:t xml:space="preserve">In the event of an accident, vehicle replacement is </w:t>
            </w:r>
            <w:r w:rsidR="00236BBA">
              <w:rPr>
                <w:highlight w:val="yellow"/>
              </w:rPr>
              <w:t xml:space="preserve">the responsibility of the staff member </w:t>
            </w:r>
          </w:p>
          <w:p w:rsidR="00E553D0" w:rsidRDefault="00236BBA" w:rsidP="0080710C">
            <w:pPr>
              <w:pStyle w:val="Style1"/>
              <w:numPr>
                <w:ilvl w:val="0"/>
                <w:numId w:val="15"/>
              </w:numPr>
            </w:pPr>
            <w:r w:rsidRPr="00265F1A">
              <w:t xml:space="preserve">Participants are communicated with to inform them of arrangements in </w:t>
            </w:r>
            <w:r w:rsidR="00E553D0" w:rsidRPr="00265F1A">
              <w:t>the event of an emergency where workers cannot make it to the participant or vice-versa</w:t>
            </w:r>
            <w:r w:rsidRPr="00265F1A">
              <w:t>.</w:t>
            </w:r>
            <w:r w:rsidR="00EA3366">
              <w:t xml:space="preserve"> </w:t>
            </w:r>
            <w:r w:rsidR="00265F1A" w:rsidRPr="00265F1A">
              <w:t>Services will be rescheduled as soon as practical (refer to Safe Practice &amp; Environment Policy</w:t>
            </w:r>
            <w:r w:rsidR="0080710C">
              <w:t xml:space="preserve"> &amp; SOP-</w:t>
            </w:r>
            <w:r w:rsidR="0080710C" w:rsidRPr="00F40DA2">
              <w:rPr>
                <w:rFonts w:eastAsiaTheme="minorHAnsi" w:cs="Arial"/>
              </w:rPr>
              <w:t xml:space="preserve">Participant Management in Case of AHP </w:t>
            </w:r>
            <w:r w:rsidR="0080710C" w:rsidRPr="00F40DA2">
              <w:t>Unplanned Leave</w:t>
            </w:r>
            <w:r w:rsidR="00265F1A" w:rsidRPr="00265F1A">
              <w:t>)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Damage to participant property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156B4C">
            <w:pPr>
              <w:pStyle w:val="Style1"/>
            </w:pPr>
            <w:r>
              <w:t>Adherence to Codes of Conduct</w:t>
            </w:r>
          </w:p>
          <w:p w:rsidR="00140E05" w:rsidRDefault="00140E05" w:rsidP="00156B4C">
            <w:pPr>
              <w:pStyle w:val="Style1"/>
            </w:pPr>
            <w:r>
              <w:t>No cash / direct payments taken</w:t>
            </w:r>
          </w:p>
          <w:p w:rsidR="00140E05" w:rsidRDefault="00140E05" w:rsidP="00481FA0">
            <w:pPr>
              <w:pStyle w:val="Style1"/>
            </w:pPr>
            <w:r>
              <w:t>Insurance in the advent of an incident if required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AE5E5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</w:t>
            </w:r>
            <w:r w:rsidR="00E82603" w:rsidRPr="000873EC">
              <w:rPr>
                <w:b/>
                <w:szCs w:val="22"/>
              </w:rPr>
              <w:t>/ 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Loss of participant data / business records</w:t>
            </w:r>
          </w:p>
        </w:tc>
        <w:tc>
          <w:tcPr>
            <w:tcW w:w="986" w:type="dxa"/>
          </w:tcPr>
          <w:p w:rsidR="00140E05" w:rsidRPr="00E223FE" w:rsidRDefault="00140E05" w:rsidP="00140E05">
            <w:pPr>
              <w:pStyle w:val="Style1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172" w:type="dxa"/>
          </w:tcPr>
          <w:p w:rsidR="00140E05" w:rsidRPr="00E223FE" w:rsidRDefault="00140E05" w:rsidP="00140E05">
            <w:pPr>
              <w:pStyle w:val="Style1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9694" w:type="dxa"/>
          </w:tcPr>
          <w:p w:rsidR="00140E05" w:rsidRPr="00E223FE" w:rsidRDefault="00140E05" w:rsidP="00A40B43">
            <w:pPr>
              <w:pStyle w:val="Style1"/>
            </w:pPr>
            <w:r w:rsidRPr="00E223FE">
              <w:rPr>
                <w:i/>
              </w:rPr>
              <w:t>Privacy and Information Policy</w:t>
            </w:r>
            <w:r w:rsidRPr="00E223FE">
              <w:t xml:space="preserve"> in place</w:t>
            </w:r>
          </w:p>
          <w:p w:rsidR="00140E05" w:rsidRPr="00E223FE" w:rsidRDefault="00140E05" w:rsidP="004D0604">
            <w:pPr>
              <w:pStyle w:val="Style1"/>
              <w:numPr>
                <w:ilvl w:val="0"/>
                <w:numId w:val="0"/>
              </w:numPr>
            </w:pPr>
            <w:r w:rsidRPr="00E223FE">
              <w:t xml:space="preserve">Security of </w:t>
            </w:r>
            <w:r>
              <w:t>participant</w:t>
            </w:r>
            <w:r w:rsidRPr="00E223FE">
              <w:t xml:space="preserve"> records includes </w:t>
            </w:r>
          </w:p>
          <w:p w:rsidR="00140E05" w:rsidRPr="00E553D0" w:rsidRDefault="00140E05" w:rsidP="00156B4C">
            <w:pPr>
              <w:pStyle w:val="Style1"/>
              <w:rPr>
                <w:highlight w:val="yellow"/>
              </w:rPr>
            </w:pPr>
            <w:r w:rsidRPr="00E553D0">
              <w:rPr>
                <w:highlight w:val="yellow"/>
              </w:rPr>
              <w:t xml:space="preserve">Paper files kept to a minimum, scan documents &amp; then shred where possible, participant paper files only transported where necessary, carried in locked case, never left in car, stored in locked cupboard in home </w:t>
            </w:r>
            <w:r w:rsidR="00444290" w:rsidRPr="00E553D0">
              <w:rPr>
                <w:highlight w:val="yellow"/>
              </w:rPr>
              <w:t xml:space="preserve">/ </w:t>
            </w:r>
            <w:r w:rsidRPr="00E553D0">
              <w:rPr>
                <w:highlight w:val="yellow"/>
              </w:rPr>
              <w:t>office</w:t>
            </w:r>
          </w:p>
          <w:p w:rsidR="00140E05" w:rsidRPr="00E223FE" w:rsidRDefault="00140E05" w:rsidP="00E553D0">
            <w:pPr>
              <w:pStyle w:val="Style1"/>
            </w:pPr>
            <w:r w:rsidRPr="00E553D0">
              <w:rPr>
                <w:highlight w:val="yellow"/>
              </w:rPr>
              <w:t>Security for files / data includes - password protected devices, IT system backup o</w:t>
            </w:r>
            <w:r w:rsidR="00E553D0" w:rsidRPr="00E553D0">
              <w:rPr>
                <w:highlight w:val="yellow"/>
              </w:rPr>
              <w:t>f</w:t>
            </w:r>
            <w:r w:rsidRPr="00E553D0">
              <w:rPr>
                <w:highlight w:val="yellow"/>
              </w:rPr>
              <w:t xml:space="preserve"> office server / off-site / in cloud, use of IT consultant to advise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140E05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Financial viability affected by: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Funding body changes</w:t>
            </w:r>
          </w:p>
          <w:p w:rsidR="00140E05" w:rsidRDefault="00140E05" w:rsidP="009C1281">
            <w:pPr>
              <w:pStyle w:val="Style1"/>
              <w:ind w:left="310" w:hanging="310"/>
            </w:pPr>
            <w:r>
              <w:t>Injury / illness</w:t>
            </w:r>
          </w:p>
          <w:p w:rsidR="00140E05" w:rsidRPr="00FC25F4" w:rsidRDefault="00140E05" w:rsidP="009C1281">
            <w:pPr>
              <w:pStyle w:val="Style1"/>
              <w:ind w:left="310" w:hanging="310"/>
            </w:pPr>
            <w:r>
              <w:t>Poor management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444290" w:rsidRDefault="00444290" w:rsidP="00156B4C">
            <w:pPr>
              <w:pStyle w:val="Style1"/>
            </w:pPr>
            <w:r>
              <w:t>See 1 above</w:t>
            </w:r>
          </w:p>
          <w:p w:rsidR="00140E05" w:rsidRDefault="00140E05" w:rsidP="00156B4C">
            <w:pPr>
              <w:pStyle w:val="Style1"/>
            </w:pPr>
            <w:r>
              <w:t>Maintain a balanced client list with variety of referral / funding bases</w:t>
            </w:r>
          </w:p>
          <w:p w:rsidR="00140E05" w:rsidRDefault="00140E05" w:rsidP="00156B4C">
            <w:pPr>
              <w:pStyle w:val="Style1"/>
            </w:pPr>
            <w:r w:rsidRPr="00444290">
              <w:rPr>
                <w:highlight w:val="yellow"/>
              </w:rPr>
              <w:t xml:space="preserve">Income protection / accident insurance </w:t>
            </w:r>
            <w:r w:rsidR="00444290" w:rsidRPr="00444290">
              <w:rPr>
                <w:highlight w:val="yellow"/>
              </w:rPr>
              <w:t>/ key personnel insurance</w:t>
            </w:r>
            <w:r w:rsidR="00444290">
              <w:t xml:space="preserve"> </w:t>
            </w:r>
            <w:r>
              <w:t>in place</w:t>
            </w:r>
          </w:p>
          <w:p w:rsidR="00140E05" w:rsidRDefault="00140E05" w:rsidP="00BD25F5">
            <w:pPr>
              <w:pStyle w:val="Style1"/>
            </w:pPr>
            <w:r>
              <w:t xml:space="preserve">Professional business advice sought as needed - annual business review by accountant, IT consultant, business mentor engaged, </w:t>
            </w:r>
            <w:r w:rsidRPr="007D53C1">
              <w:t>quality consultant</w:t>
            </w:r>
            <w:r w:rsidR="002A31E8">
              <w:t xml:space="preserve"> </w:t>
            </w:r>
            <w:r w:rsidR="002A31E8" w:rsidRPr="002A31E8">
              <w:rPr>
                <w:highlight w:val="yellow"/>
              </w:rPr>
              <w:t xml:space="preserve">Note: You need to </w:t>
            </w:r>
            <w:r w:rsidR="002A31E8">
              <w:rPr>
                <w:highlight w:val="yellow"/>
              </w:rPr>
              <w:t xml:space="preserve">have a professional </w:t>
            </w:r>
            <w:r w:rsidR="002A31E8" w:rsidRPr="002A31E8">
              <w:rPr>
                <w:highlight w:val="yellow"/>
              </w:rPr>
              <w:t xml:space="preserve">who has oversight of your finances </w:t>
            </w:r>
            <w:r w:rsidR="002A31E8">
              <w:rPr>
                <w:highlight w:val="yellow"/>
              </w:rPr>
              <w:t xml:space="preserve">(as part of your governing body and / or as a paid advisor) and you will need to </w:t>
            </w:r>
            <w:r w:rsidR="002A31E8" w:rsidRPr="002A31E8">
              <w:rPr>
                <w:highlight w:val="yellow"/>
              </w:rPr>
              <w:t xml:space="preserve">provide </w:t>
            </w:r>
            <w:r w:rsidR="002A31E8">
              <w:rPr>
                <w:highlight w:val="yellow"/>
              </w:rPr>
              <w:t xml:space="preserve">the auditor with </w:t>
            </w:r>
            <w:r w:rsidR="002A31E8" w:rsidRPr="002A31E8">
              <w:rPr>
                <w:highlight w:val="yellow"/>
              </w:rPr>
              <w:t xml:space="preserve">the registration number of </w:t>
            </w:r>
            <w:r w:rsidR="00BD25F5">
              <w:rPr>
                <w:highlight w:val="yellow"/>
              </w:rPr>
              <w:t>this</w:t>
            </w:r>
            <w:r w:rsidR="002A31E8" w:rsidRPr="002A31E8">
              <w:rPr>
                <w:highlight w:val="yellow"/>
              </w:rPr>
              <w:t xml:space="preserve"> accountant / financial advisor.</w:t>
            </w:r>
            <w:r w:rsidR="002A31E8">
              <w:t xml:space="preserve"> 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Business/ Work Health and Safety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Non-compliance with NDIS business and quality / safety requirements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2D12FF">
            <w:pPr>
              <w:pStyle w:val="Style1"/>
            </w:pPr>
            <w:r>
              <w:t>Implemented a quality management system to address NDIS registration requirements and NDIS Terms of Business for Registered Providers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140E05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 w:rsidRPr="00110522">
              <w:t>Non-compliance with</w:t>
            </w:r>
            <w:r>
              <w:t xml:space="preserve"> State and </w:t>
            </w:r>
            <w:r>
              <w:lastRenderedPageBreak/>
              <w:t>Federal business and</w:t>
            </w:r>
            <w:r w:rsidRPr="00110522">
              <w:t xml:space="preserve"> statutory re</w:t>
            </w:r>
            <w:r>
              <w:t>quirements</w:t>
            </w:r>
          </w:p>
        </w:tc>
        <w:tc>
          <w:tcPr>
            <w:tcW w:w="986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156B4C">
            <w:pPr>
              <w:pStyle w:val="Style1"/>
            </w:pPr>
            <w:r>
              <w:t>Awareness of legislative requirements understood and kept up-to-date through professional associations, business advisors, quality consultants</w:t>
            </w:r>
          </w:p>
          <w:p w:rsidR="00140E05" w:rsidRDefault="00140E05" w:rsidP="00110522">
            <w:pPr>
              <w:pStyle w:val="Style1"/>
            </w:pPr>
            <w:r>
              <w:lastRenderedPageBreak/>
              <w:t>Compliance Calendar in place and regularly reviewed to facilitate meeting of obligations</w:t>
            </w:r>
          </w:p>
          <w:p w:rsidR="00140E05" w:rsidRDefault="00140E05" w:rsidP="00110522">
            <w:pPr>
              <w:pStyle w:val="Style1"/>
            </w:pPr>
            <w:r>
              <w:t xml:space="preserve">Also refer to other risks </w:t>
            </w:r>
            <w:r w:rsidR="00707035">
              <w:t>esp.</w:t>
            </w:r>
            <w:r>
              <w:t xml:space="preserve"> 2, 3, 10 </w:t>
            </w:r>
          </w:p>
        </w:tc>
      </w:tr>
      <w:tr w:rsidR="000873EC" w:rsidTr="009C1281">
        <w:tc>
          <w:tcPr>
            <w:tcW w:w="1425" w:type="dxa"/>
          </w:tcPr>
          <w:p w:rsidR="00C46B0B" w:rsidRPr="000873EC" w:rsidRDefault="00C46B0B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Participant/</w:t>
            </w:r>
          </w:p>
          <w:p w:rsidR="00E82603" w:rsidRPr="000873EC" w:rsidRDefault="001A3A09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Business</w:t>
            </w:r>
          </w:p>
        </w:tc>
        <w:tc>
          <w:tcPr>
            <w:tcW w:w="2229" w:type="dxa"/>
          </w:tcPr>
          <w:p w:rsidR="00E82603" w:rsidRPr="00110522" w:rsidRDefault="00E82603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>Poor management of Conflict of Interests</w:t>
            </w:r>
          </w:p>
        </w:tc>
        <w:tc>
          <w:tcPr>
            <w:tcW w:w="986" w:type="dxa"/>
          </w:tcPr>
          <w:p w:rsidR="00E82603" w:rsidRDefault="00E82603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E82603" w:rsidRDefault="00E82603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E82603" w:rsidRDefault="00E82603" w:rsidP="00156B4C">
            <w:pPr>
              <w:pStyle w:val="Style1"/>
            </w:pPr>
            <w:r>
              <w:t>A</w:t>
            </w:r>
            <w:r w:rsidR="00C46B0B">
              <w:t xml:space="preserve"> positive culture about the importance of identifying c</w:t>
            </w:r>
            <w:r>
              <w:t xml:space="preserve">onflicts and the appropriate management of conflicts throughout the organisation </w:t>
            </w:r>
            <w:r w:rsidR="00C46B0B">
              <w:t xml:space="preserve">exists, </w:t>
            </w:r>
            <w:r>
              <w:t>including Governing Body and all staff</w:t>
            </w:r>
          </w:p>
          <w:p w:rsidR="00E82603" w:rsidRDefault="00C46B0B" w:rsidP="00156B4C">
            <w:pPr>
              <w:pStyle w:val="Style1"/>
            </w:pPr>
            <w:r>
              <w:t xml:space="preserve">A Register of Interests is maintained across the organisation </w:t>
            </w:r>
          </w:p>
          <w:p w:rsidR="00C46B0B" w:rsidRDefault="00C46B0B" w:rsidP="00156B4C">
            <w:pPr>
              <w:pStyle w:val="Style1"/>
            </w:pPr>
            <w:r>
              <w:t xml:space="preserve">Conflicts of Interests are identified and strategies put in place to ensure participants and/or the organisation </w:t>
            </w:r>
            <w:r w:rsidR="00444290">
              <w:t>are</w:t>
            </w:r>
            <w:r>
              <w:t xml:space="preserve"> not unduly affected</w:t>
            </w:r>
          </w:p>
          <w:p w:rsidR="00C46B0B" w:rsidRDefault="00C46B0B" w:rsidP="00156B4C">
            <w:pPr>
              <w:pStyle w:val="Style1"/>
            </w:pPr>
            <w:r>
              <w:t xml:space="preserve">The Governing Body </w:t>
            </w:r>
            <w:r w:rsidR="001A3A09">
              <w:t>regularly reviews the identified conflicts, determines appropriate strategies for their management and has oversight of compliance of such strategies</w:t>
            </w:r>
          </w:p>
        </w:tc>
      </w:tr>
      <w:tr w:rsidR="000873EC" w:rsidTr="009C1281">
        <w:tc>
          <w:tcPr>
            <w:tcW w:w="1425" w:type="dxa"/>
          </w:tcPr>
          <w:p w:rsidR="00140E05" w:rsidRPr="000873EC" w:rsidRDefault="00E82603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Work Health and Safety</w:t>
            </w:r>
            <w:r w:rsidR="001A3A09" w:rsidRPr="000873EC">
              <w:rPr>
                <w:b/>
                <w:szCs w:val="22"/>
              </w:rPr>
              <w:t>/ Partic</w:t>
            </w:r>
            <w:r w:rsidR="003D2805" w:rsidRPr="000873EC">
              <w:rPr>
                <w:b/>
                <w:szCs w:val="22"/>
              </w:rPr>
              <w:t>i</w:t>
            </w:r>
            <w:r w:rsidR="001A3A09" w:rsidRPr="000873EC">
              <w:rPr>
                <w:b/>
                <w:szCs w:val="22"/>
              </w:rPr>
              <w:t>pant</w:t>
            </w:r>
          </w:p>
        </w:tc>
        <w:tc>
          <w:tcPr>
            <w:tcW w:w="2229" w:type="dxa"/>
          </w:tcPr>
          <w:p w:rsidR="00140E05" w:rsidRPr="00FC25F4" w:rsidRDefault="00140E05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WHS risks </w:t>
            </w:r>
          </w:p>
        </w:tc>
        <w:tc>
          <w:tcPr>
            <w:tcW w:w="986" w:type="dxa"/>
          </w:tcPr>
          <w:p w:rsidR="00140E05" w:rsidRPr="003F3880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40E05" w:rsidRPr="003F3880" w:rsidRDefault="00140E05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40E05" w:rsidRDefault="00140E05" w:rsidP="005B2CC0">
            <w:pPr>
              <w:pStyle w:val="Style1"/>
            </w:pPr>
            <w:r w:rsidRPr="003F3880">
              <w:t xml:space="preserve">WHS risks addressed in </w:t>
            </w:r>
            <w:r w:rsidRPr="008D11BE">
              <w:rPr>
                <w:i/>
              </w:rPr>
              <w:t>Safe Practice and Environment Policy</w:t>
            </w:r>
            <w:r w:rsidRPr="003F3880">
              <w:t>. This includes strategies for managing most identified risks</w:t>
            </w:r>
            <w:r>
              <w:t xml:space="preserve"> </w:t>
            </w:r>
            <w:r w:rsidR="00707035">
              <w:t>e.g.</w:t>
            </w:r>
            <w:r>
              <w:t xml:space="preserve"> participant falls, infection control</w:t>
            </w:r>
          </w:p>
          <w:p w:rsidR="00140E05" w:rsidRPr="003F3880" w:rsidRDefault="00140E05" w:rsidP="005B2CC0">
            <w:pPr>
              <w:pStyle w:val="Style1"/>
            </w:pPr>
            <w:r>
              <w:t>Risk identification commences at time of referral and are documented on the participant’s Support Plan with management strategies</w:t>
            </w:r>
          </w:p>
          <w:p w:rsidR="00140E05" w:rsidRPr="000914C3" w:rsidRDefault="00140E05" w:rsidP="002B47F3">
            <w:pPr>
              <w:pStyle w:val="Style1"/>
            </w:pPr>
            <w:r w:rsidRPr="000914C3">
              <w:t xml:space="preserve">Key risks related to home / community visits </w:t>
            </w:r>
            <w:r>
              <w:t>AHP</w:t>
            </w:r>
            <w:r w:rsidRPr="000914C3">
              <w:t xml:space="preserve"> refers to </w:t>
            </w:r>
            <w:r w:rsidRPr="000914C3">
              <w:rPr>
                <w:i/>
              </w:rPr>
              <w:t xml:space="preserve">Community Safety </w:t>
            </w:r>
            <w:r w:rsidRPr="000914C3">
              <w:t xml:space="preserve">criteria to identify and manage risks in the community, including behavioural risks of </w:t>
            </w:r>
            <w:r>
              <w:t>participant</w:t>
            </w:r>
            <w:r w:rsidRPr="000914C3">
              <w:t>s and environmental risks in the home/community environment</w:t>
            </w:r>
          </w:p>
          <w:p w:rsidR="00140E05" w:rsidRPr="000914C3" w:rsidRDefault="00140E05" w:rsidP="003F3880">
            <w:pPr>
              <w:pStyle w:val="Style1"/>
            </w:pPr>
            <w:r w:rsidRPr="000914C3">
              <w:t>Key risks related to travel (car accident)</w:t>
            </w:r>
          </w:p>
          <w:p w:rsidR="00140E05" w:rsidRPr="000914C3" w:rsidRDefault="00140E05" w:rsidP="00155D9B">
            <w:pPr>
              <w:pStyle w:val="Style1"/>
              <w:numPr>
                <w:ilvl w:val="0"/>
                <w:numId w:val="0"/>
              </w:numPr>
              <w:ind w:left="360"/>
            </w:pPr>
            <w:r>
              <w:t>AHP</w:t>
            </w:r>
            <w:r w:rsidRPr="000914C3">
              <w:t xml:space="preserve"> refers to </w:t>
            </w:r>
            <w:r w:rsidRPr="000914C3">
              <w:rPr>
                <w:i/>
              </w:rPr>
              <w:t xml:space="preserve">Community Safety </w:t>
            </w:r>
            <w:r>
              <w:t>c</w:t>
            </w:r>
            <w:r w:rsidRPr="00440D2F">
              <w:t>riteria</w:t>
            </w:r>
            <w:r w:rsidRPr="000914C3">
              <w:rPr>
                <w:i/>
              </w:rPr>
              <w:t xml:space="preserve">, </w:t>
            </w:r>
            <w:r w:rsidRPr="000914C3">
              <w:t xml:space="preserve">considering mobile phone use when driving, fatigue, diary management and car maintenance </w:t>
            </w:r>
          </w:p>
          <w:p w:rsidR="00140E05" w:rsidRDefault="00140E05" w:rsidP="00155D9B">
            <w:pPr>
              <w:pStyle w:val="Style1"/>
            </w:pPr>
            <w:r>
              <w:t>Key risks related to in-room services</w:t>
            </w:r>
          </w:p>
          <w:p w:rsidR="00140E05" w:rsidRDefault="00140E05" w:rsidP="00155D9B">
            <w:pPr>
              <w:pStyle w:val="Style1"/>
              <w:numPr>
                <w:ilvl w:val="0"/>
                <w:numId w:val="0"/>
              </w:numPr>
              <w:ind w:left="360"/>
            </w:pPr>
            <w:r>
              <w:t xml:space="preserve">AHP uses and completes  </w:t>
            </w:r>
            <w:r>
              <w:rPr>
                <w:i/>
              </w:rPr>
              <w:t>In-</w:t>
            </w:r>
            <w:r w:rsidRPr="000914C3">
              <w:rPr>
                <w:i/>
              </w:rPr>
              <w:t>Rooms Safety Checklist</w:t>
            </w:r>
            <w:r>
              <w:t xml:space="preserve"> to identify and manage risks including ergonomic risks, environmental risks and good integrity of equipment</w:t>
            </w:r>
          </w:p>
        </w:tc>
      </w:tr>
      <w:tr w:rsidR="000873EC" w:rsidTr="009C1281">
        <w:tc>
          <w:tcPr>
            <w:tcW w:w="1425" w:type="dxa"/>
          </w:tcPr>
          <w:p w:rsidR="00177B77" w:rsidRPr="000873EC" w:rsidRDefault="00177B77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>Participant/</w:t>
            </w:r>
          </w:p>
          <w:p w:rsidR="00177B77" w:rsidRPr="000873EC" w:rsidRDefault="00177B77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t xml:space="preserve">Business </w:t>
            </w:r>
          </w:p>
        </w:tc>
        <w:tc>
          <w:tcPr>
            <w:tcW w:w="2229" w:type="dxa"/>
          </w:tcPr>
          <w:p w:rsidR="00177B77" w:rsidRDefault="00177B7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 Lack of engagement with participant leading to non-compliance with NDIS Standards and loss of reputation leading to reduced referrals </w:t>
            </w:r>
          </w:p>
        </w:tc>
        <w:tc>
          <w:tcPr>
            <w:tcW w:w="986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177B77" w:rsidRDefault="00177B77" w:rsidP="00177B77">
            <w:pPr>
              <w:pStyle w:val="Style1"/>
            </w:pPr>
            <w:r>
              <w:t xml:space="preserve">Respect participants’ human rights </w:t>
            </w:r>
          </w:p>
          <w:p w:rsidR="00177B77" w:rsidRDefault="00177B77" w:rsidP="00177B77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Listen to our participants through: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Engaging them in developing their support goals and interventions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Having a robust feedback and complaints system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Seeking formal and informal participant feedback on our services and our team (Participant surveys, complaints and compliments registers)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Seeking their input where possible on any service or process changes</w:t>
            </w:r>
          </w:p>
          <w:p w:rsidR="00177B77" w:rsidRDefault="00177B77" w:rsidP="00177B77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Involve people with disability in strategic planning and marketing activities: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Invite people with disability and experience in private community sector to partake in strategic planning meeting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lastRenderedPageBreak/>
              <w:t xml:space="preserve">Seek input from people with disabilities on business / marketing plan </w:t>
            </w:r>
          </w:p>
          <w:p w:rsidR="00177B77" w:rsidRDefault="00177B77" w:rsidP="00177B77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 opinion re marketing materials from people with disabilities </w:t>
            </w:r>
          </w:p>
          <w:p w:rsidR="00177B77" w:rsidRPr="003F3880" w:rsidRDefault="00177B77" w:rsidP="00177B77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</w:tr>
      <w:tr w:rsidR="000873EC" w:rsidTr="009C1281">
        <w:tc>
          <w:tcPr>
            <w:tcW w:w="1425" w:type="dxa"/>
          </w:tcPr>
          <w:p w:rsidR="00177B77" w:rsidRPr="000873EC" w:rsidRDefault="00825144" w:rsidP="00FC25F4">
            <w:pPr>
              <w:rPr>
                <w:b/>
                <w:szCs w:val="22"/>
              </w:rPr>
            </w:pPr>
            <w:r w:rsidRPr="000873EC">
              <w:rPr>
                <w:b/>
                <w:szCs w:val="22"/>
              </w:rPr>
              <w:lastRenderedPageBreak/>
              <w:t>Business</w:t>
            </w:r>
          </w:p>
        </w:tc>
        <w:tc>
          <w:tcPr>
            <w:tcW w:w="2229" w:type="dxa"/>
          </w:tcPr>
          <w:p w:rsidR="00177B77" w:rsidRDefault="00177B77" w:rsidP="009C1281">
            <w:pPr>
              <w:pStyle w:val="Style1"/>
              <w:numPr>
                <w:ilvl w:val="0"/>
                <w:numId w:val="12"/>
              </w:numPr>
              <w:ind w:left="310" w:hanging="310"/>
            </w:pPr>
            <w:r>
              <w:t xml:space="preserve"> Lack of engagement with community and </w:t>
            </w:r>
            <w:r w:rsidR="00825144">
              <w:t>stakeholders leading to non-compliance with NDIS Standards and loss of reputation leading to reduced referrals</w:t>
            </w:r>
          </w:p>
        </w:tc>
        <w:tc>
          <w:tcPr>
            <w:tcW w:w="986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177B77" w:rsidRPr="003F3880" w:rsidRDefault="00177B77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Listen to our community and stakeholders through: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Understanding their needs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Having a robust feedback and complaints system 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Seeking formal and informal feedback on our services and our team (complaints and compliments registers) 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Seeking their input where possible on any service or process changes</w:t>
            </w:r>
          </w:p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Ensure we understand the culture and initiatives of the disability industry by: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Directors,</w:t>
            </w:r>
            <w:r w:rsidRPr="00C052BF">
              <w:rPr>
                <w:rFonts w:eastAsia="Arial" w:cs="Arial"/>
                <w:szCs w:val="24"/>
              </w:rPr>
              <w:t xml:space="preserve"> management </w:t>
            </w:r>
            <w:r>
              <w:rPr>
                <w:rFonts w:eastAsia="Arial" w:cs="Arial"/>
                <w:szCs w:val="24"/>
              </w:rPr>
              <w:t xml:space="preserve">and staff </w:t>
            </w:r>
            <w:r w:rsidRPr="00C052BF">
              <w:rPr>
                <w:rFonts w:eastAsia="Arial" w:cs="Arial"/>
                <w:szCs w:val="24"/>
              </w:rPr>
              <w:t>attend</w:t>
            </w:r>
            <w:r>
              <w:rPr>
                <w:rFonts w:eastAsia="Arial" w:cs="Arial"/>
                <w:szCs w:val="24"/>
              </w:rPr>
              <w:t>ing</w:t>
            </w:r>
            <w:r w:rsidRPr="00C052BF">
              <w:rPr>
                <w:rFonts w:eastAsia="Arial" w:cs="Arial"/>
                <w:szCs w:val="24"/>
              </w:rPr>
              <w:t xml:space="preserve"> community forums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Attending conferences / seminars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 w:rsidRPr="00C052BF">
              <w:rPr>
                <w:rFonts w:eastAsia="Arial" w:cs="Arial"/>
                <w:szCs w:val="24"/>
              </w:rPr>
              <w:t>Refer</w:t>
            </w:r>
            <w:r>
              <w:rPr>
                <w:rFonts w:eastAsia="Arial" w:cs="Arial"/>
                <w:szCs w:val="24"/>
              </w:rPr>
              <w:t>ring</w:t>
            </w:r>
            <w:r w:rsidRPr="00C052BF">
              <w:rPr>
                <w:rFonts w:eastAsia="Arial" w:cs="Arial"/>
                <w:szCs w:val="24"/>
              </w:rPr>
              <w:t xml:space="preserve"> to </w:t>
            </w:r>
            <w:r>
              <w:rPr>
                <w:rFonts w:eastAsia="Arial" w:cs="Arial"/>
                <w:szCs w:val="24"/>
              </w:rPr>
              <w:t>any available population health n</w:t>
            </w:r>
            <w:r w:rsidRPr="00C052BF">
              <w:rPr>
                <w:rFonts w:eastAsia="Arial" w:cs="Arial"/>
                <w:szCs w:val="24"/>
              </w:rPr>
              <w:t xml:space="preserve">eeds of </w:t>
            </w:r>
            <w:r>
              <w:rPr>
                <w:rFonts w:eastAsia="Arial" w:cs="Arial"/>
                <w:szCs w:val="24"/>
              </w:rPr>
              <w:t>our</w:t>
            </w:r>
            <w:r w:rsidRPr="00C052BF">
              <w:rPr>
                <w:rFonts w:eastAsia="Arial" w:cs="Arial"/>
                <w:szCs w:val="24"/>
              </w:rPr>
              <w:t xml:space="preserve"> community to guide business development</w:t>
            </w:r>
          </w:p>
          <w:p w:rsidR="00825144" w:rsidRDefault="00825144" w:rsidP="00825144">
            <w:pPr>
              <w:pStyle w:val="Style1"/>
              <w:rPr>
                <w:rFonts w:eastAsia="Arial"/>
              </w:rPr>
            </w:pPr>
            <w:r>
              <w:rPr>
                <w:rFonts w:eastAsia="Arial"/>
              </w:rPr>
              <w:t>Involve our community and stakeholders in strategic planning and marketing activities: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Invite key people and organisational representatives in our community to partake in strategic planning meeting</w:t>
            </w:r>
          </w:p>
          <w:p w:rsidR="00825144" w:rsidRDefault="00825144" w:rsidP="0082514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Invite key people and organisational representatives in our community to give opinion and ideas when developing marketing and business plans. </w:t>
            </w:r>
          </w:p>
          <w:p w:rsidR="00177B77" w:rsidRDefault="00177B77" w:rsidP="00825144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</w:tr>
      <w:tr w:rsidR="000873EC" w:rsidTr="009C1281">
        <w:tc>
          <w:tcPr>
            <w:tcW w:w="1425" w:type="dxa"/>
          </w:tcPr>
          <w:p w:rsidR="000873EC" w:rsidRDefault="000873EC" w:rsidP="00FC25F4">
            <w:pPr>
              <w:rPr>
                <w:b/>
              </w:rPr>
            </w:pPr>
          </w:p>
        </w:tc>
        <w:tc>
          <w:tcPr>
            <w:tcW w:w="2229" w:type="dxa"/>
          </w:tcPr>
          <w:p w:rsidR="000873EC" w:rsidRDefault="000873EC" w:rsidP="000873EC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986" w:type="dxa"/>
          </w:tcPr>
          <w:p w:rsidR="000873EC" w:rsidRPr="003F3880" w:rsidRDefault="000873EC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1172" w:type="dxa"/>
          </w:tcPr>
          <w:p w:rsidR="000873EC" w:rsidRPr="003F3880" w:rsidRDefault="000873EC" w:rsidP="00140E05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  <w:tc>
          <w:tcPr>
            <w:tcW w:w="9694" w:type="dxa"/>
          </w:tcPr>
          <w:p w:rsidR="000873EC" w:rsidRDefault="000873EC" w:rsidP="000873EC">
            <w:pPr>
              <w:pStyle w:val="Style1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</w:tc>
      </w:tr>
    </w:tbl>
    <w:p w:rsidR="00265F1A" w:rsidRPr="00912494" w:rsidRDefault="00EA3366" w:rsidP="00265F1A">
      <w:pPr>
        <w:rPr>
          <w:sz w:val="20"/>
        </w:rPr>
      </w:pPr>
      <w:r w:rsidRPr="00265F1A">
        <w:rPr>
          <w:sz w:val="20"/>
        </w:rPr>
        <w:t xml:space="preserve">* </w:t>
      </w:r>
      <w:r w:rsidR="00265F1A" w:rsidRPr="00265F1A">
        <w:rPr>
          <w:sz w:val="20"/>
        </w:rPr>
        <w:t>Includes: Fire, flood, extreme heat events, thunder / dust storms, very high winds, major transport disruption, power outage – widespread or localised to rooms, pandemic, terrorist attack</w:t>
      </w:r>
    </w:p>
    <w:p w:rsidR="00E553D0" w:rsidRDefault="00E553D0" w:rsidP="007311F3"/>
    <w:p w:rsidR="00E437E5" w:rsidRDefault="00E437E5">
      <w:pPr>
        <w:spacing w:after="200" w:line="276" w:lineRule="auto"/>
        <w:rPr>
          <w:rFonts w:cs="Arial"/>
          <w:sz w:val="16"/>
          <w:szCs w:val="16"/>
        </w:rPr>
        <w:sectPr w:rsidR="00E437E5" w:rsidSect="00544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720" w:left="720" w:header="709" w:footer="680" w:gutter="0"/>
          <w:cols w:space="708"/>
          <w:docGrid w:linePitch="360"/>
        </w:sectPr>
      </w:pPr>
    </w:p>
    <w:p w:rsidR="00E437E5" w:rsidRDefault="00E437E5">
      <w:pPr>
        <w:spacing w:after="200" w:line="276" w:lineRule="auto"/>
        <w:rPr>
          <w:rFonts w:cs="Arial"/>
          <w:sz w:val="16"/>
          <w:szCs w:val="16"/>
        </w:rPr>
      </w:pPr>
    </w:p>
    <w:tbl>
      <w:tblPr>
        <w:tblW w:w="10357" w:type="dxa"/>
        <w:tblInd w:w="99" w:type="dxa"/>
        <w:tblLayout w:type="fixed"/>
        <w:tblLook w:val="04A0"/>
      </w:tblPr>
      <w:tblGrid>
        <w:gridCol w:w="1994"/>
        <w:gridCol w:w="246"/>
        <w:gridCol w:w="463"/>
        <w:gridCol w:w="1701"/>
        <w:gridCol w:w="468"/>
        <w:gridCol w:w="1091"/>
        <w:gridCol w:w="1006"/>
        <w:gridCol w:w="411"/>
        <w:gridCol w:w="851"/>
        <w:gridCol w:w="709"/>
        <w:gridCol w:w="69"/>
        <w:gridCol w:w="236"/>
        <w:gridCol w:w="236"/>
        <w:gridCol w:w="451"/>
        <w:gridCol w:w="425"/>
      </w:tblGrid>
      <w:tr w:rsidR="000431D6" w:rsidRPr="00E437E5" w:rsidTr="000431D6">
        <w:trPr>
          <w:trHeight w:val="34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 xml:space="preserve">Sample </w:t>
            </w:r>
            <w:r w:rsidRPr="00E437E5"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>Risk Matrix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0431D6" w:rsidRPr="00E437E5" w:rsidTr="000431D6">
        <w:trPr>
          <w:trHeight w:val="312"/>
        </w:trPr>
        <w:tc>
          <w:tcPr>
            <w:tcW w:w="10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Default="000431D6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</w:p>
          <w:p w:rsidR="000431D6" w:rsidRDefault="000431D6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Risks are scored by the application of consequence and likelihood</w:t>
            </w:r>
          </w:p>
          <w:p w:rsidR="000431D6" w:rsidRPr="00E437E5" w:rsidRDefault="000431D6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0431D6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CONSEQUENCE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0431D6" w:rsidRPr="00E437E5" w:rsidTr="000431D6">
        <w:trPr>
          <w:trHeight w:val="42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Insignificant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Minor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Moderate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Major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Critical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5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Almost Certain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E(20)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E(25)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Likely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H(16)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E(20)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Possible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H(09)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H(12)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H(15)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Unlikely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M(06)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M(08)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H(10)</w:t>
            </w:r>
          </w:p>
        </w:tc>
      </w:tr>
      <w:tr w:rsidR="000431D6" w:rsidRPr="00E437E5" w:rsidTr="000431D6">
        <w:trPr>
          <w:trHeight w:val="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  <w:t>Rare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L(03)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M(04)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M(05)</w:t>
            </w:r>
          </w:p>
        </w:tc>
      </w:tr>
      <w:tr w:rsidR="000431D6" w:rsidRPr="00E437E5" w:rsidTr="000431D6">
        <w:trPr>
          <w:trHeight w:val="312"/>
        </w:trPr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Four risk levels are used in the development of the risk register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6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Risk Levels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Extreme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High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Medium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1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Low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34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0431D6" w:rsidRPr="00E437E5" w:rsidTr="005E230D">
        <w:trPr>
          <w:trHeight w:val="360"/>
        </w:trPr>
        <w:tc>
          <w:tcPr>
            <w:tcW w:w="6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1D6" w:rsidRPr="00E437E5" w:rsidRDefault="000431D6" w:rsidP="000431D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  <w:r w:rsidRPr="00E437E5">
              <w:rPr>
                <w:rFonts w:cs="Arial"/>
                <w:b/>
                <w:bCs/>
                <w:sz w:val="28"/>
                <w:szCs w:val="28"/>
                <w:lang w:val="en-US" w:eastAsia="en-US"/>
              </w:rPr>
              <w:t>Risk Decision Point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6" w:rsidRPr="00E437E5" w:rsidRDefault="000431D6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89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Risk Rank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Qualified Acceptance with Adequate Controls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E5" w:rsidRPr="00E437E5" w:rsidRDefault="000431D6" w:rsidP="00E437E5">
            <w:pPr>
              <w:jc w:val="center"/>
              <w:rPr>
                <w:rFonts w:cs="Arial"/>
                <w:b/>
                <w:bCs/>
                <w:szCs w:val="24"/>
                <w:lang w:val="en-US" w:eastAsia="en-US"/>
              </w:rPr>
            </w:pPr>
            <w:r>
              <w:rPr>
                <w:rFonts w:cs="Arial"/>
                <w:b/>
                <w:bCs/>
                <w:szCs w:val="24"/>
                <w:lang w:val="en-US" w:eastAsia="en-US"/>
              </w:rPr>
              <w:t>Action Required?</w:t>
            </w:r>
            <w:r w:rsidR="00E437E5" w:rsidRPr="00E437E5">
              <w:rPr>
                <w:rFonts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Low:  1-3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Yes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Does not currently require corrective action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Medium:  4-8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Yes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corrective action within 3 months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79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High: 9-15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corrective action within 1 month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cs="Arial"/>
                <w:b/>
                <w:bCs/>
                <w:szCs w:val="24"/>
                <w:lang w:val="en-US" w:eastAsia="en-US"/>
              </w:rPr>
            </w:pPr>
            <w:r w:rsidRPr="00E437E5">
              <w:rPr>
                <w:rFonts w:cs="Arial"/>
                <w:b/>
                <w:bCs/>
                <w:szCs w:val="24"/>
                <w:lang w:val="en-US" w:eastAsia="en-US"/>
              </w:rPr>
              <w:t>Extreme: 16-25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jc w:val="center"/>
              <w:rPr>
                <w:rFonts w:cs="Arial"/>
                <w:szCs w:val="24"/>
                <w:lang w:val="en-US" w:eastAsia="en-US"/>
              </w:rPr>
            </w:pPr>
            <w:r w:rsidRPr="00E437E5">
              <w:rPr>
                <w:rFonts w:cs="Arial"/>
                <w:szCs w:val="24"/>
                <w:lang w:val="en-US" w:eastAsia="en-US"/>
              </w:rPr>
              <w:t>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E5" w:rsidRPr="00E437E5" w:rsidRDefault="00E437E5" w:rsidP="00E437E5">
            <w:pPr>
              <w:rPr>
                <w:rFonts w:cs="Arial"/>
                <w:sz w:val="20"/>
                <w:lang w:val="en-US" w:eastAsia="en-US"/>
              </w:rPr>
            </w:pPr>
            <w:r w:rsidRPr="00E437E5">
              <w:rPr>
                <w:rFonts w:cs="Arial"/>
                <w:sz w:val="20"/>
                <w:lang w:val="en-US" w:eastAsia="en-US"/>
              </w:rPr>
              <w:t>Needs immediate corrective action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  <w:tr w:rsidR="00E437E5" w:rsidRPr="00E437E5" w:rsidTr="000431D6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E5" w:rsidRPr="00E437E5" w:rsidRDefault="00E437E5" w:rsidP="00E437E5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</w:tr>
    </w:tbl>
    <w:p w:rsidR="00110522" w:rsidRDefault="00110522" w:rsidP="00110522">
      <w:pPr>
        <w:rPr>
          <w:rFonts w:cs="Arial"/>
          <w:sz w:val="16"/>
          <w:szCs w:val="16"/>
        </w:rPr>
      </w:pPr>
    </w:p>
    <w:sectPr w:rsidR="00110522" w:rsidSect="000431D6"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CE" w:rsidRDefault="00230FCE" w:rsidP="008A612F">
      <w:r>
        <w:separator/>
      </w:r>
    </w:p>
  </w:endnote>
  <w:endnote w:type="continuationSeparator" w:id="0">
    <w:p w:rsidR="00230FCE" w:rsidRDefault="00230FCE" w:rsidP="008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2994809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E230D" w:rsidRPr="001E2C6D" w:rsidRDefault="005E230D">
            <w:pPr>
              <w:pStyle w:val="Footer"/>
              <w:rPr>
                <w:sz w:val="20"/>
              </w:rPr>
            </w:pPr>
            <w:r w:rsidRPr="004B4784">
              <w:rPr>
                <w:b/>
                <w:sz w:val="20"/>
              </w:rPr>
              <w:t>R10 Risk Management Register Mar 2020</w:t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</w:r>
            <w:r w:rsidRPr="00440D2F">
              <w:rPr>
                <w:sz w:val="20"/>
              </w:rPr>
              <w:tab/>
              <w:t xml:space="preserve">Page </w:t>
            </w:r>
            <w:r w:rsidR="00051AF2" w:rsidRPr="00440D2F">
              <w:rPr>
                <w:b/>
                <w:sz w:val="20"/>
              </w:rPr>
              <w:fldChar w:fldCharType="begin"/>
            </w:r>
            <w:r w:rsidRPr="00440D2F">
              <w:rPr>
                <w:b/>
                <w:sz w:val="20"/>
              </w:rPr>
              <w:instrText xml:space="preserve"> PAGE </w:instrText>
            </w:r>
            <w:r w:rsidR="00051AF2" w:rsidRPr="00440D2F">
              <w:rPr>
                <w:b/>
                <w:sz w:val="20"/>
              </w:rPr>
              <w:fldChar w:fldCharType="separate"/>
            </w:r>
            <w:r w:rsidR="00D63431">
              <w:rPr>
                <w:b/>
                <w:noProof/>
                <w:sz w:val="20"/>
              </w:rPr>
              <w:t>3</w:t>
            </w:r>
            <w:r w:rsidR="00051AF2" w:rsidRPr="00440D2F">
              <w:rPr>
                <w:b/>
                <w:sz w:val="20"/>
              </w:rPr>
              <w:fldChar w:fldCharType="end"/>
            </w:r>
            <w:r w:rsidRPr="00440D2F">
              <w:rPr>
                <w:sz w:val="20"/>
              </w:rPr>
              <w:t xml:space="preserve"> of </w:t>
            </w:r>
            <w:r w:rsidR="00051AF2" w:rsidRPr="00440D2F">
              <w:rPr>
                <w:b/>
                <w:sz w:val="20"/>
              </w:rPr>
              <w:fldChar w:fldCharType="begin"/>
            </w:r>
            <w:r w:rsidRPr="00440D2F">
              <w:rPr>
                <w:b/>
                <w:sz w:val="20"/>
              </w:rPr>
              <w:instrText xml:space="preserve"> NUMPAGES  </w:instrText>
            </w:r>
            <w:r w:rsidR="00051AF2" w:rsidRPr="00440D2F">
              <w:rPr>
                <w:b/>
                <w:sz w:val="20"/>
              </w:rPr>
              <w:fldChar w:fldCharType="separate"/>
            </w:r>
            <w:r w:rsidR="00D63431">
              <w:rPr>
                <w:b/>
                <w:noProof/>
                <w:sz w:val="20"/>
              </w:rPr>
              <w:t>6</w:t>
            </w:r>
            <w:r w:rsidR="00051AF2" w:rsidRPr="00440D2F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CE" w:rsidRDefault="00230FCE" w:rsidP="008A612F">
      <w:r>
        <w:separator/>
      </w:r>
    </w:p>
  </w:footnote>
  <w:footnote w:type="continuationSeparator" w:id="0">
    <w:p w:rsidR="00230FCE" w:rsidRDefault="00230FCE" w:rsidP="008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D" w:rsidRDefault="005E2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4D"/>
    <w:multiLevelType w:val="hybridMultilevel"/>
    <w:tmpl w:val="8AC8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162"/>
    <w:multiLevelType w:val="hybridMultilevel"/>
    <w:tmpl w:val="B6346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368"/>
    <w:multiLevelType w:val="hybridMultilevel"/>
    <w:tmpl w:val="6E368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76A"/>
    <w:multiLevelType w:val="multilevel"/>
    <w:tmpl w:val="BE02EF0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>
    <w:nsid w:val="1BFD70F6"/>
    <w:multiLevelType w:val="hybridMultilevel"/>
    <w:tmpl w:val="C126686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312100F"/>
    <w:multiLevelType w:val="hybridMultilevel"/>
    <w:tmpl w:val="A5E25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9547F"/>
    <w:multiLevelType w:val="hybridMultilevel"/>
    <w:tmpl w:val="CA8A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0059"/>
    <w:multiLevelType w:val="hybridMultilevel"/>
    <w:tmpl w:val="1C540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049A"/>
    <w:multiLevelType w:val="hybridMultilevel"/>
    <w:tmpl w:val="6C544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4444"/>
    <w:multiLevelType w:val="hybridMultilevel"/>
    <w:tmpl w:val="297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68C302B"/>
    <w:multiLevelType w:val="hybridMultilevel"/>
    <w:tmpl w:val="359CF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806E7"/>
    <w:multiLevelType w:val="hybridMultilevel"/>
    <w:tmpl w:val="1116E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13A9B"/>
    <w:multiLevelType w:val="hybridMultilevel"/>
    <w:tmpl w:val="4F42FA62"/>
    <w:lvl w:ilvl="0" w:tplc="2F44B38C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1152DA9"/>
    <w:multiLevelType w:val="hybridMultilevel"/>
    <w:tmpl w:val="E9A4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2164F"/>
    <w:multiLevelType w:val="hybridMultilevel"/>
    <w:tmpl w:val="105C08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63"/>
    <w:rsid w:val="0000094B"/>
    <w:rsid w:val="000209C5"/>
    <w:rsid w:val="000320F0"/>
    <w:rsid w:val="000431D6"/>
    <w:rsid w:val="00051AF2"/>
    <w:rsid w:val="0006089F"/>
    <w:rsid w:val="00062932"/>
    <w:rsid w:val="00066F95"/>
    <w:rsid w:val="000873EC"/>
    <w:rsid w:val="000914C3"/>
    <w:rsid w:val="00092DA5"/>
    <w:rsid w:val="000B251C"/>
    <w:rsid w:val="000B419B"/>
    <w:rsid w:val="000E4DCC"/>
    <w:rsid w:val="00110522"/>
    <w:rsid w:val="00117A2E"/>
    <w:rsid w:val="00121340"/>
    <w:rsid w:val="0012161E"/>
    <w:rsid w:val="00122386"/>
    <w:rsid w:val="00125688"/>
    <w:rsid w:val="00133026"/>
    <w:rsid w:val="00140E05"/>
    <w:rsid w:val="00150A71"/>
    <w:rsid w:val="00151612"/>
    <w:rsid w:val="00155D9B"/>
    <w:rsid w:val="00156B4C"/>
    <w:rsid w:val="00161D1A"/>
    <w:rsid w:val="00177B77"/>
    <w:rsid w:val="00180A5B"/>
    <w:rsid w:val="00183AED"/>
    <w:rsid w:val="0019101B"/>
    <w:rsid w:val="00195AC9"/>
    <w:rsid w:val="001A3A09"/>
    <w:rsid w:val="001A5F63"/>
    <w:rsid w:val="001A68F3"/>
    <w:rsid w:val="001C06FA"/>
    <w:rsid w:val="001C14D6"/>
    <w:rsid w:val="001D6BA1"/>
    <w:rsid w:val="001E2C6D"/>
    <w:rsid w:val="001E2FBF"/>
    <w:rsid w:val="001E3B08"/>
    <w:rsid w:val="001E5608"/>
    <w:rsid w:val="001F1491"/>
    <w:rsid w:val="001F3F55"/>
    <w:rsid w:val="00220197"/>
    <w:rsid w:val="00227E0A"/>
    <w:rsid w:val="00230636"/>
    <w:rsid w:val="00230FCE"/>
    <w:rsid w:val="002321F5"/>
    <w:rsid w:val="00234B34"/>
    <w:rsid w:val="00236BBA"/>
    <w:rsid w:val="002436EA"/>
    <w:rsid w:val="00251B77"/>
    <w:rsid w:val="00254A69"/>
    <w:rsid w:val="002563CD"/>
    <w:rsid w:val="0026514A"/>
    <w:rsid w:val="00265F1A"/>
    <w:rsid w:val="00266DD3"/>
    <w:rsid w:val="00271A63"/>
    <w:rsid w:val="0027301F"/>
    <w:rsid w:val="00274891"/>
    <w:rsid w:val="00295193"/>
    <w:rsid w:val="002A31E8"/>
    <w:rsid w:val="002B47F3"/>
    <w:rsid w:val="002C61B7"/>
    <w:rsid w:val="002D12FF"/>
    <w:rsid w:val="002D1AAB"/>
    <w:rsid w:val="002D3D43"/>
    <w:rsid w:val="002D4157"/>
    <w:rsid w:val="002D4A5B"/>
    <w:rsid w:val="002E24E9"/>
    <w:rsid w:val="002E514D"/>
    <w:rsid w:val="002F4646"/>
    <w:rsid w:val="00322009"/>
    <w:rsid w:val="003460AC"/>
    <w:rsid w:val="00354664"/>
    <w:rsid w:val="00357498"/>
    <w:rsid w:val="003944C7"/>
    <w:rsid w:val="00397D1F"/>
    <w:rsid w:val="003A098E"/>
    <w:rsid w:val="003A7B77"/>
    <w:rsid w:val="003D2805"/>
    <w:rsid w:val="003E24BE"/>
    <w:rsid w:val="003E6C6C"/>
    <w:rsid w:val="003F3880"/>
    <w:rsid w:val="004168EA"/>
    <w:rsid w:val="004321BD"/>
    <w:rsid w:val="00437843"/>
    <w:rsid w:val="00440D2F"/>
    <w:rsid w:val="00444290"/>
    <w:rsid w:val="004468FC"/>
    <w:rsid w:val="00456AFD"/>
    <w:rsid w:val="00462BE8"/>
    <w:rsid w:val="00466A4F"/>
    <w:rsid w:val="00470047"/>
    <w:rsid w:val="00481FA0"/>
    <w:rsid w:val="004A2662"/>
    <w:rsid w:val="004A27CF"/>
    <w:rsid w:val="004A3241"/>
    <w:rsid w:val="004B4784"/>
    <w:rsid w:val="004C338F"/>
    <w:rsid w:val="004C4BD7"/>
    <w:rsid w:val="004D0604"/>
    <w:rsid w:val="004D2A24"/>
    <w:rsid w:val="004F05FF"/>
    <w:rsid w:val="00506250"/>
    <w:rsid w:val="005077AC"/>
    <w:rsid w:val="005110E7"/>
    <w:rsid w:val="0054454F"/>
    <w:rsid w:val="00545C16"/>
    <w:rsid w:val="00552A9A"/>
    <w:rsid w:val="00556041"/>
    <w:rsid w:val="0055678F"/>
    <w:rsid w:val="00560B9A"/>
    <w:rsid w:val="00591D8D"/>
    <w:rsid w:val="005B00BE"/>
    <w:rsid w:val="005B2CC0"/>
    <w:rsid w:val="005C0522"/>
    <w:rsid w:val="005D0824"/>
    <w:rsid w:val="005D62A9"/>
    <w:rsid w:val="005E230D"/>
    <w:rsid w:val="005F1C2E"/>
    <w:rsid w:val="006374FF"/>
    <w:rsid w:val="00644ED7"/>
    <w:rsid w:val="0064500C"/>
    <w:rsid w:val="00645BB2"/>
    <w:rsid w:val="00646702"/>
    <w:rsid w:val="00663A15"/>
    <w:rsid w:val="00665047"/>
    <w:rsid w:val="00674722"/>
    <w:rsid w:val="006819A6"/>
    <w:rsid w:val="006831C8"/>
    <w:rsid w:val="00685617"/>
    <w:rsid w:val="0069343D"/>
    <w:rsid w:val="006A5E75"/>
    <w:rsid w:val="006A739B"/>
    <w:rsid w:val="006B2890"/>
    <w:rsid w:val="006C1325"/>
    <w:rsid w:val="006D2CFB"/>
    <w:rsid w:val="006D318B"/>
    <w:rsid w:val="006D3408"/>
    <w:rsid w:val="0070123F"/>
    <w:rsid w:val="00705747"/>
    <w:rsid w:val="00707035"/>
    <w:rsid w:val="007112B4"/>
    <w:rsid w:val="00713BB4"/>
    <w:rsid w:val="007246C0"/>
    <w:rsid w:val="007311F3"/>
    <w:rsid w:val="00734C23"/>
    <w:rsid w:val="00735126"/>
    <w:rsid w:val="00757F0C"/>
    <w:rsid w:val="007616F4"/>
    <w:rsid w:val="00764B58"/>
    <w:rsid w:val="00776F7F"/>
    <w:rsid w:val="00786E94"/>
    <w:rsid w:val="007956D2"/>
    <w:rsid w:val="007A1989"/>
    <w:rsid w:val="007B04C0"/>
    <w:rsid w:val="007B5AD4"/>
    <w:rsid w:val="007D0153"/>
    <w:rsid w:val="007D29AB"/>
    <w:rsid w:val="007D3059"/>
    <w:rsid w:val="007D53C1"/>
    <w:rsid w:val="007E37BA"/>
    <w:rsid w:val="007F3717"/>
    <w:rsid w:val="007F71C5"/>
    <w:rsid w:val="00800891"/>
    <w:rsid w:val="008046F2"/>
    <w:rsid w:val="00804F6A"/>
    <w:rsid w:val="0080710C"/>
    <w:rsid w:val="00821B71"/>
    <w:rsid w:val="00825144"/>
    <w:rsid w:val="0084161C"/>
    <w:rsid w:val="00847747"/>
    <w:rsid w:val="00874A87"/>
    <w:rsid w:val="00886CB6"/>
    <w:rsid w:val="0089365C"/>
    <w:rsid w:val="00896326"/>
    <w:rsid w:val="008A028B"/>
    <w:rsid w:val="008A5C97"/>
    <w:rsid w:val="008A612F"/>
    <w:rsid w:val="008B008C"/>
    <w:rsid w:val="008B6120"/>
    <w:rsid w:val="008B7390"/>
    <w:rsid w:val="008D11BE"/>
    <w:rsid w:val="008D3974"/>
    <w:rsid w:val="008E52E8"/>
    <w:rsid w:val="008E7363"/>
    <w:rsid w:val="00903E8C"/>
    <w:rsid w:val="00911A38"/>
    <w:rsid w:val="00912861"/>
    <w:rsid w:val="00914F0B"/>
    <w:rsid w:val="00933FA8"/>
    <w:rsid w:val="0094452C"/>
    <w:rsid w:val="00950608"/>
    <w:rsid w:val="00954DFE"/>
    <w:rsid w:val="0095565B"/>
    <w:rsid w:val="00956098"/>
    <w:rsid w:val="00961588"/>
    <w:rsid w:val="00967BFB"/>
    <w:rsid w:val="00980FA1"/>
    <w:rsid w:val="00984A4E"/>
    <w:rsid w:val="0098588E"/>
    <w:rsid w:val="009A6EC6"/>
    <w:rsid w:val="009C1281"/>
    <w:rsid w:val="009C3FB9"/>
    <w:rsid w:val="009D16F9"/>
    <w:rsid w:val="009E158A"/>
    <w:rsid w:val="009E79EB"/>
    <w:rsid w:val="009F06A9"/>
    <w:rsid w:val="00A17FDA"/>
    <w:rsid w:val="00A33730"/>
    <w:rsid w:val="00A40B43"/>
    <w:rsid w:val="00A4552B"/>
    <w:rsid w:val="00A63BED"/>
    <w:rsid w:val="00A803E9"/>
    <w:rsid w:val="00A81FE9"/>
    <w:rsid w:val="00A8473E"/>
    <w:rsid w:val="00A9161F"/>
    <w:rsid w:val="00AC6A4D"/>
    <w:rsid w:val="00AD6687"/>
    <w:rsid w:val="00AE394E"/>
    <w:rsid w:val="00AE5E54"/>
    <w:rsid w:val="00AF2D5B"/>
    <w:rsid w:val="00B01766"/>
    <w:rsid w:val="00B31573"/>
    <w:rsid w:val="00B356F6"/>
    <w:rsid w:val="00B46C62"/>
    <w:rsid w:val="00B733EF"/>
    <w:rsid w:val="00B73F9B"/>
    <w:rsid w:val="00B76395"/>
    <w:rsid w:val="00B8432E"/>
    <w:rsid w:val="00B87C28"/>
    <w:rsid w:val="00BB0E4A"/>
    <w:rsid w:val="00BC1389"/>
    <w:rsid w:val="00BD0C83"/>
    <w:rsid w:val="00BD25F5"/>
    <w:rsid w:val="00BD72D7"/>
    <w:rsid w:val="00BF0783"/>
    <w:rsid w:val="00C14291"/>
    <w:rsid w:val="00C172C3"/>
    <w:rsid w:val="00C2112C"/>
    <w:rsid w:val="00C2151B"/>
    <w:rsid w:val="00C46439"/>
    <w:rsid w:val="00C46B0B"/>
    <w:rsid w:val="00C512CD"/>
    <w:rsid w:val="00C53F6F"/>
    <w:rsid w:val="00C64DEF"/>
    <w:rsid w:val="00C81320"/>
    <w:rsid w:val="00C97779"/>
    <w:rsid w:val="00C97B26"/>
    <w:rsid w:val="00CB0628"/>
    <w:rsid w:val="00CB634A"/>
    <w:rsid w:val="00CC15CC"/>
    <w:rsid w:val="00CC1F5B"/>
    <w:rsid w:val="00CC7E9E"/>
    <w:rsid w:val="00CD4D07"/>
    <w:rsid w:val="00CD5C22"/>
    <w:rsid w:val="00CD6716"/>
    <w:rsid w:val="00CE1F27"/>
    <w:rsid w:val="00CE21F8"/>
    <w:rsid w:val="00D00976"/>
    <w:rsid w:val="00D17C91"/>
    <w:rsid w:val="00D33FE6"/>
    <w:rsid w:val="00D37C99"/>
    <w:rsid w:val="00D5354A"/>
    <w:rsid w:val="00D57FE4"/>
    <w:rsid w:val="00D63431"/>
    <w:rsid w:val="00D80E2B"/>
    <w:rsid w:val="00D976AD"/>
    <w:rsid w:val="00DA36D5"/>
    <w:rsid w:val="00DB1AE8"/>
    <w:rsid w:val="00DB6C3C"/>
    <w:rsid w:val="00DC4672"/>
    <w:rsid w:val="00DD129D"/>
    <w:rsid w:val="00DD49DE"/>
    <w:rsid w:val="00E0274A"/>
    <w:rsid w:val="00E05E2C"/>
    <w:rsid w:val="00E11C14"/>
    <w:rsid w:val="00E21B2C"/>
    <w:rsid w:val="00E223FE"/>
    <w:rsid w:val="00E33DEC"/>
    <w:rsid w:val="00E33F25"/>
    <w:rsid w:val="00E437E5"/>
    <w:rsid w:val="00E52C4A"/>
    <w:rsid w:val="00E553D0"/>
    <w:rsid w:val="00E67460"/>
    <w:rsid w:val="00E72667"/>
    <w:rsid w:val="00E82603"/>
    <w:rsid w:val="00E83154"/>
    <w:rsid w:val="00E8575D"/>
    <w:rsid w:val="00E86F99"/>
    <w:rsid w:val="00E9108D"/>
    <w:rsid w:val="00EA3366"/>
    <w:rsid w:val="00EB4AAC"/>
    <w:rsid w:val="00EC046E"/>
    <w:rsid w:val="00EE151F"/>
    <w:rsid w:val="00F051D7"/>
    <w:rsid w:val="00F16150"/>
    <w:rsid w:val="00F3125D"/>
    <w:rsid w:val="00F52375"/>
    <w:rsid w:val="00F66592"/>
    <w:rsid w:val="00F83CF3"/>
    <w:rsid w:val="00FA3985"/>
    <w:rsid w:val="00FB5903"/>
    <w:rsid w:val="00FC25F4"/>
    <w:rsid w:val="00FC2958"/>
    <w:rsid w:val="00FC4A60"/>
    <w:rsid w:val="00FC5D29"/>
    <w:rsid w:val="00FE2E08"/>
    <w:rsid w:val="00FE43E6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12"/>
    <w:pPr>
      <w:spacing w:after="0" w:line="240" w:lineRule="auto"/>
    </w:pPr>
    <w:rPr>
      <w:rFonts w:ascii="Arial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46C62"/>
    <w:pPr>
      <w:keepNext/>
      <w:numPr>
        <w:numId w:val="5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46C62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table" w:customStyle="1" w:styleId="Calendar3">
    <w:name w:val="Calendar 3"/>
    <w:basedOn w:val="TableNormal"/>
    <w:uiPriority w:val="99"/>
    <w:qFormat/>
    <w:rsid w:val="008E736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F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6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2F"/>
    <w:rPr>
      <w:rFonts w:ascii="Arial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6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12F"/>
    <w:rPr>
      <w:rFonts w:ascii="Arial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73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D1AAB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1A5F63"/>
    <w:pPr>
      <w:numPr>
        <w:numId w:val="8"/>
      </w:numPr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5F63"/>
    <w:rPr>
      <w:rFonts w:ascii="Arial" w:hAnsi="Arial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1A5F63"/>
    <w:rPr>
      <w:rFonts w:ascii="Arial" w:hAnsi="Arial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6AEBC-4E84-4F83-A809-A09196B2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88E27-0353-425D-BB73-A838081D0AA2}"/>
</file>

<file path=customXml/itemProps3.xml><?xml version="1.0" encoding="utf-8"?>
<ds:datastoreItem xmlns:ds="http://schemas.openxmlformats.org/officeDocument/2006/customXml" ds:itemID="{D6EF944E-16EB-4F11-BE45-FBF07CDC9C02}"/>
</file>

<file path=customXml/itemProps4.xml><?xml version="1.0" encoding="utf-8"?>
<ds:datastoreItem xmlns:ds="http://schemas.openxmlformats.org/officeDocument/2006/customXml" ds:itemID="{1DBC85BC-C197-4DA8-ABA4-FB7D60529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14</cp:revision>
  <cp:lastPrinted>2019-02-11T07:22:00Z</cp:lastPrinted>
  <dcterms:created xsi:type="dcterms:W3CDTF">2020-02-18T00:58:00Z</dcterms:created>
  <dcterms:modified xsi:type="dcterms:W3CDTF">2020-03-27T00:10:00Z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